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3F00" w14:textId="5D381A38" w:rsidR="008C57F4" w:rsidRPr="008C57F4" w:rsidRDefault="008C57F4" w:rsidP="008C57F4">
      <w:pPr>
        <w:spacing w:after="240" w:line="360" w:lineRule="auto"/>
        <w:rPr>
          <w:rFonts w:ascii="Arial" w:hAnsi="Arial" w:cs="Arial"/>
          <w:iCs/>
          <w:sz w:val="20"/>
          <w:szCs w:val="20"/>
        </w:rPr>
      </w:pPr>
      <w:bookmarkStart w:id="0" w:name="_GoBack"/>
      <w:bookmarkEnd w:id="0"/>
      <w:r w:rsidRPr="008C57F4">
        <w:rPr>
          <w:rFonts w:ascii="Arial" w:hAnsi="Arial" w:cs="Arial"/>
          <w:b/>
          <w:iCs/>
          <w:sz w:val="20"/>
          <w:szCs w:val="20"/>
        </w:rPr>
        <w:t>Investment Consultants Sustainability Working Group (ICSWG) launches a trustee g</w:t>
      </w:r>
      <w:r w:rsidRPr="008C57F4">
        <w:rPr>
          <w:rFonts w:ascii="Arial" w:hAnsi="Arial" w:cs="Arial"/>
          <w:b/>
          <w:sz w:val="20"/>
          <w:szCs w:val="20"/>
        </w:rPr>
        <w:t xml:space="preserve">uide for assessing consultants’ climate competency </w:t>
      </w:r>
      <w:r w:rsidRPr="008C57F4">
        <w:rPr>
          <w:rFonts w:ascii="Arial" w:hAnsi="Arial" w:cs="Arial"/>
          <w:b/>
          <w:sz w:val="20"/>
          <w:szCs w:val="20"/>
        </w:rPr>
        <w:br/>
      </w:r>
      <w:r w:rsidRPr="008C57F4">
        <w:rPr>
          <w:rFonts w:ascii="Arial" w:hAnsi="Arial" w:cs="Arial"/>
          <w:b/>
          <w:sz w:val="20"/>
          <w:szCs w:val="20"/>
        </w:rPr>
        <w:br/>
        <w:t xml:space="preserve">London, UK – </w:t>
      </w:r>
      <w:r w:rsidR="0020400B">
        <w:rPr>
          <w:rFonts w:ascii="Arial" w:hAnsi="Arial" w:cs="Arial"/>
          <w:b/>
          <w:sz w:val="20"/>
          <w:szCs w:val="20"/>
        </w:rPr>
        <w:t>Friday, 29th January 2021</w:t>
      </w:r>
      <w:r w:rsidRPr="008C57F4">
        <w:rPr>
          <w:rFonts w:ascii="Arial" w:hAnsi="Arial" w:cs="Arial"/>
          <w:b/>
          <w:sz w:val="20"/>
          <w:szCs w:val="20"/>
        </w:rPr>
        <w:t xml:space="preserve"> </w:t>
      </w:r>
      <w:r w:rsidRPr="008C57F4">
        <w:rPr>
          <w:rFonts w:ascii="Arial" w:hAnsi="Arial" w:cs="Arial"/>
          <w:sz w:val="20"/>
          <w:szCs w:val="20"/>
        </w:rPr>
        <w:t xml:space="preserve">The </w:t>
      </w:r>
      <w:r w:rsidRPr="008C57F4">
        <w:rPr>
          <w:rFonts w:ascii="Arial" w:hAnsi="Arial" w:cs="Arial"/>
          <w:iCs/>
          <w:sz w:val="20"/>
          <w:szCs w:val="20"/>
        </w:rPr>
        <w:t xml:space="preserve">Investment Consultants Sustainability Working Group </w:t>
      </w:r>
      <w:r w:rsidR="008A7546">
        <w:rPr>
          <w:rFonts w:ascii="Arial" w:hAnsi="Arial" w:cs="Arial"/>
          <w:iCs/>
          <w:sz w:val="20"/>
          <w:szCs w:val="20"/>
        </w:rPr>
        <w:t xml:space="preserve">(ICSWG) </w:t>
      </w:r>
      <w:r w:rsidRPr="008C57F4">
        <w:rPr>
          <w:rFonts w:ascii="Arial" w:hAnsi="Arial" w:cs="Arial"/>
          <w:iCs/>
          <w:sz w:val="20"/>
          <w:szCs w:val="20"/>
        </w:rPr>
        <w:t xml:space="preserve">has launched a guide to support trustees to assess their investment consultants on their climate competency. </w:t>
      </w:r>
      <w:r w:rsidR="008A7546">
        <w:rPr>
          <w:rFonts w:ascii="Arial" w:hAnsi="Arial" w:cs="Arial"/>
          <w:iCs/>
          <w:sz w:val="20"/>
          <w:szCs w:val="20"/>
        </w:rPr>
        <w:t>The ICSWG is</w:t>
      </w:r>
      <w:r w:rsidR="00707FC6" w:rsidRPr="008C57F4">
        <w:rPr>
          <w:rFonts w:ascii="Arial" w:hAnsi="Arial" w:cs="Arial"/>
          <w:iCs/>
          <w:sz w:val="20"/>
          <w:szCs w:val="20"/>
        </w:rPr>
        <w:t xml:space="preserve"> a </w:t>
      </w:r>
      <w:r w:rsidR="00707FC6">
        <w:rPr>
          <w:rFonts w:ascii="Arial" w:hAnsi="Arial" w:cs="Arial"/>
          <w:iCs/>
          <w:sz w:val="20"/>
          <w:szCs w:val="20"/>
        </w:rPr>
        <w:t xml:space="preserve">collaboration </w:t>
      </w:r>
      <w:r w:rsidR="00CA5267" w:rsidRPr="00F118D2">
        <w:rPr>
          <w:rFonts w:ascii="Arial" w:hAnsi="Arial" w:cs="Arial"/>
          <w:iCs/>
          <w:sz w:val="20"/>
          <w:szCs w:val="20"/>
        </w:rPr>
        <w:t xml:space="preserve">between </w:t>
      </w:r>
      <w:r w:rsidR="00707FC6" w:rsidRPr="00B40547">
        <w:rPr>
          <w:rFonts w:ascii="Arial" w:hAnsi="Arial" w:cs="Arial"/>
          <w:iCs/>
          <w:sz w:val="20"/>
          <w:szCs w:val="20"/>
        </w:rPr>
        <w:t>1</w:t>
      </w:r>
      <w:r w:rsidR="00D0471B">
        <w:rPr>
          <w:rFonts w:ascii="Arial" w:hAnsi="Arial" w:cs="Arial"/>
          <w:iCs/>
          <w:sz w:val="20"/>
          <w:szCs w:val="20"/>
        </w:rPr>
        <w:t>7</w:t>
      </w:r>
      <w:r w:rsidR="00707FC6" w:rsidRPr="00F118D2">
        <w:rPr>
          <w:rFonts w:ascii="Arial" w:hAnsi="Arial" w:cs="Arial"/>
          <w:iCs/>
          <w:sz w:val="20"/>
          <w:szCs w:val="20"/>
        </w:rPr>
        <w:t xml:space="preserve"> firms</w:t>
      </w:r>
      <w:r w:rsidR="00707FC6" w:rsidRPr="008C57F4">
        <w:rPr>
          <w:rFonts w:ascii="Arial" w:hAnsi="Arial" w:cs="Arial"/>
          <w:iCs/>
          <w:sz w:val="20"/>
          <w:szCs w:val="20"/>
        </w:rPr>
        <w:t xml:space="preserve"> </w:t>
      </w:r>
      <w:r w:rsidR="00CA5267">
        <w:rPr>
          <w:rFonts w:ascii="Arial" w:hAnsi="Arial" w:cs="Arial"/>
          <w:iCs/>
          <w:sz w:val="20"/>
          <w:szCs w:val="20"/>
        </w:rPr>
        <w:t xml:space="preserve">formed in 2020 </w:t>
      </w:r>
      <w:proofErr w:type="gramStart"/>
      <w:r w:rsidR="00CA5267">
        <w:rPr>
          <w:rFonts w:ascii="Arial" w:hAnsi="Arial" w:cs="Arial"/>
          <w:iCs/>
          <w:sz w:val="20"/>
          <w:szCs w:val="20"/>
        </w:rPr>
        <w:t>taking action</w:t>
      </w:r>
      <w:proofErr w:type="gramEnd"/>
      <w:r w:rsidR="00CA5267">
        <w:rPr>
          <w:rFonts w:ascii="Arial" w:hAnsi="Arial" w:cs="Arial"/>
          <w:iCs/>
          <w:sz w:val="20"/>
          <w:szCs w:val="20"/>
        </w:rPr>
        <w:t xml:space="preserve"> </w:t>
      </w:r>
      <w:r w:rsidR="00707FC6" w:rsidRPr="008C57F4">
        <w:rPr>
          <w:rFonts w:ascii="Arial" w:hAnsi="Arial" w:cs="Arial"/>
          <w:iCs/>
          <w:sz w:val="20"/>
          <w:szCs w:val="20"/>
        </w:rPr>
        <w:t xml:space="preserve">to </w:t>
      </w:r>
      <w:r w:rsidR="00707FC6">
        <w:rPr>
          <w:rFonts w:ascii="Arial" w:hAnsi="Arial" w:cs="Arial"/>
          <w:iCs/>
          <w:sz w:val="20"/>
          <w:szCs w:val="20"/>
        </w:rPr>
        <w:t xml:space="preserve">support and accelerate </w:t>
      </w:r>
      <w:r w:rsidR="00707FC6" w:rsidRPr="008C57F4">
        <w:rPr>
          <w:rFonts w:ascii="Arial" w:hAnsi="Arial" w:cs="Arial"/>
          <w:iCs/>
          <w:sz w:val="20"/>
          <w:szCs w:val="20"/>
        </w:rPr>
        <w:t xml:space="preserve">sustainable investment </w:t>
      </w:r>
      <w:r w:rsidR="00707FC6">
        <w:rPr>
          <w:rFonts w:ascii="Arial" w:hAnsi="Arial" w:cs="Arial"/>
          <w:iCs/>
          <w:sz w:val="20"/>
          <w:szCs w:val="20"/>
        </w:rPr>
        <w:t>initiatives in the UK</w:t>
      </w:r>
      <w:r w:rsidR="00CA5267">
        <w:rPr>
          <w:rFonts w:ascii="Arial" w:hAnsi="Arial" w:cs="Arial"/>
          <w:iCs/>
          <w:sz w:val="20"/>
          <w:szCs w:val="20"/>
        </w:rPr>
        <w:t>.</w:t>
      </w:r>
    </w:p>
    <w:p w14:paraId="2A995969" w14:textId="64AA8D22" w:rsidR="005B698D" w:rsidRPr="008C57F4" w:rsidRDefault="008C57F4" w:rsidP="005B698D">
      <w:pPr>
        <w:spacing w:after="0" w:line="360" w:lineRule="auto"/>
        <w:rPr>
          <w:rFonts w:ascii="Arial" w:hAnsi="Arial" w:cs="Arial"/>
          <w:sz w:val="20"/>
          <w:szCs w:val="20"/>
        </w:rPr>
      </w:pPr>
      <w:r w:rsidRPr="008C57F4">
        <w:rPr>
          <w:rFonts w:ascii="Arial" w:hAnsi="Arial" w:cs="Arial"/>
          <w:sz w:val="20"/>
          <w:szCs w:val="20"/>
        </w:rPr>
        <w:t xml:space="preserve">Developed through collaboration between all </w:t>
      </w:r>
      <w:proofErr w:type="gramStart"/>
      <w:r w:rsidRPr="008C57F4">
        <w:rPr>
          <w:rFonts w:ascii="Arial" w:hAnsi="Arial" w:cs="Arial"/>
          <w:sz w:val="20"/>
          <w:szCs w:val="20"/>
        </w:rPr>
        <w:t>1</w:t>
      </w:r>
      <w:r w:rsidR="00D0471B">
        <w:rPr>
          <w:rFonts w:ascii="Arial" w:hAnsi="Arial" w:cs="Arial"/>
          <w:sz w:val="20"/>
          <w:szCs w:val="20"/>
        </w:rPr>
        <w:t>7</w:t>
      </w:r>
      <w:r w:rsidR="007B26AD">
        <w:rPr>
          <w:rFonts w:ascii="Arial" w:hAnsi="Arial" w:cs="Arial"/>
          <w:sz w:val="20"/>
          <w:szCs w:val="20"/>
        </w:rPr>
        <w:t xml:space="preserve"> </w:t>
      </w:r>
      <w:r w:rsidRPr="008C57F4">
        <w:rPr>
          <w:rFonts w:ascii="Arial" w:hAnsi="Arial" w:cs="Arial"/>
          <w:sz w:val="20"/>
          <w:szCs w:val="20"/>
        </w:rPr>
        <w:t>member</w:t>
      </w:r>
      <w:proofErr w:type="gramEnd"/>
      <w:r w:rsidRPr="008C57F4">
        <w:rPr>
          <w:rFonts w:ascii="Arial" w:hAnsi="Arial" w:cs="Arial"/>
          <w:sz w:val="20"/>
          <w:szCs w:val="20"/>
        </w:rPr>
        <w:t xml:space="preserve"> firms with input from ShareAction, The Pensions Regulator and </w:t>
      </w:r>
      <w:r w:rsidR="00E60AC5">
        <w:rPr>
          <w:rFonts w:ascii="Arial" w:hAnsi="Arial" w:cs="Arial"/>
          <w:sz w:val="20"/>
          <w:szCs w:val="20"/>
        </w:rPr>
        <w:t xml:space="preserve">the </w:t>
      </w:r>
      <w:r w:rsidRPr="008C57F4">
        <w:rPr>
          <w:rFonts w:ascii="Arial" w:hAnsi="Arial" w:cs="Arial"/>
          <w:sz w:val="20"/>
          <w:szCs w:val="20"/>
        </w:rPr>
        <w:t xml:space="preserve">PRI, the guide is a practical response to the 2020 Pensions Climate Risk Industry Group (PCRIG) </w:t>
      </w:r>
      <w:r w:rsidR="005B698D">
        <w:rPr>
          <w:rFonts w:ascii="Arial" w:hAnsi="Arial" w:cs="Arial"/>
          <w:sz w:val="20"/>
          <w:szCs w:val="20"/>
        </w:rPr>
        <w:t>c</w:t>
      </w:r>
      <w:r w:rsidRPr="008C57F4">
        <w:rPr>
          <w:rFonts w:ascii="Arial" w:hAnsi="Arial" w:cs="Arial"/>
          <w:sz w:val="20"/>
          <w:szCs w:val="20"/>
        </w:rPr>
        <w:t xml:space="preserve">onsultation, which recommended that pension scheme trustees require their investment consultants and asset managers to demonstrate climate competence.  </w:t>
      </w:r>
      <w:r w:rsidRPr="008C57F4">
        <w:rPr>
          <w:rFonts w:ascii="Arial" w:hAnsi="Arial" w:cs="Arial"/>
          <w:sz w:val="20"/>
          <w:szCs w:val="20"/>
        </w:rPr>
        <w:br/>
      </w:r>
      <w:r w:rsidR="0003385F">
        <w:rPr>
          <w:rFonts w:ascii="Arial" w:hAnsi="Arial" w:cs="Arial"/>
          <w:sz w:val="20"/>
          <w:szCs w:val="20"/>
        </w:rPr>
        <w:br/>
      </w:r>
      <w:r w:rsidR="005B698D" w:rsidRPr="008C57F4">
        <w:rPr>
          <w:rFonts w:ascii="Arial" w:hAnsi="Arial" w:cs="Arial"/>
          <w:sz w:val="20"/>
          <w:szCs w:val="20"/>
        </w:rPr>
        <w:t xml:space="preserve">The guide sets out five themes against which trustees should expect their investment consultants to demonstrate their climate competency. These are: </w:t>
      </w:r>
    </w:p>
    <w:p w14:paraId="5807E583" w14:textId="77777777" w:rsidR="005B698D" w:rsidRDefault="005B698D" w:rsidP="005B698D">
      <w:pPr>
        <w:spacing w:after="240" w:line="360" w:lineRule="auto"/>
        <w:rPr>
          <w:rFonts w:ascii="Arial" w:hAnsi="Arial" w:cs="Arial"/>
          <w:bCs/>
          <w:sz w:val="20"/>
          <w:szCs w:val="20"/>
          <w:lang w:val="en-US"/>
        </w:rPr>
      </w:pPr>
      <w:r w:rsidRPr="008C57F4">
        <w:rPr>
          <w:rFonts w:ascii="Arial" w:hAnsi="Arial" w:cs="Arial"/>
          <w:i/>
          <w:sz w:val="20"/>
          <w:szCs w:val="20"/>
        </w:rPr>
        <w:br/>
      </w:r>
      <w:r w:rsidRPr="008C57F4">
        <w:rPr>
          <w:rFonts w:ascii="Arial" w:hAnsi="Arial" w:cs="Arial"/>
          <w:bCs/>
          <w:sz w:val="20"/>
          <w:szCs w:val="20"/>
        </w:rPr>
        <w:t xml:space="preserve">1. </w:t>
      </w:r>
      <w:r w:rsidRPr="008C57F4">
        <w:rPr>
          <w:rFonts w:ascii="Arial" w:hAnsi="Arial" w:cs="Arial"/>
          <w:bCs/>
          <w:sz w:val="20"/>
          <w:szCs w:val="20"/>
        </w:rPr>
        <w:tab/>
        <w:t>Firmwide climate expertise and commitment</w:t>
      </w:r>
      <w:r w:rsidRPr="008C57F4">
        <w:rPr>
          <w:rFonts w:ascii="Arial" w:hAnsi="Arial" w:cs="Arial"/>
          <w:iCs/>
          <w:sz w:val="20"/>
          <w:szCs w:val="20"/>
        </w:rPr>
        <w:br/>
      </w:r>
      <w:r w:rsidRPr="008C57F4">
        <w:rPr>
          <w:rFonts w:ascii="Arial" w:hAnsi="Arial" w:cs="Arial"/>
          <w:bCs/>
          <w:sz w:val="20"/>
          <w:szCs w:val="20"/>
        </w:rPr>
        <w:t>2.</w:t>
      </w:r>
      <w:r w:rsidRPr="008C57F4">
        <w:rPr>
          <w:rFonts w:ascii="Arial" w:hAnsi="Arial" w:cs="Arial"/>
          <w:bCs/>
          <w:sz w:val="20"/>
          <w:szCs w:val="20"/>
        </w:rPr>
        <w:tab/>
        <w:t>Individual consultant climate expertise</w:t>
      </w:r>
      <w:r w:rsidRPr="008C57F4">
        <w:rPr>
          <w:rFonts w:ascii="Arial" w:hAnsi="Arial" w:cs="Arial"/>
          <w:iCs/>
          <w:sz w:val="20"/>
          <w:szCs w:val="20"/>
        </w:rPr>
        <w:br/>
      </w:r>
      <w:r w:rsidRPr="008C57F4">
        <w:rPr>
          <w:rFonts w:ascii="Arial" w:hAnsi="Arial" w:cs="Arial"/>
          <w:bCs/>
          <w:sz w:val="20"/>
          <w:szCs w:val="20"/>
        </w:rPr>
        <w:t xml:space="preserve">3. </w:t>
      </w:r>
      <w:r w:rsidRPr="008C57F4">
        <w:rPr>
          <w:rFonts w:ascii="Arial" w:hAnsi="Arial" w:cs="Arial"/>
          <w:bCs/>
          <w:sz w:val="20"/>
          <w:szCs w:val="20"/>
        </w:rPr>
        <w:tab/>
        <w:t xml:space="preserve">Tools and software </w:t>
      </w:r>
      <w:r>
        <w:rPr>
          <w:rFonts w:ascii="Arial" w:hAnsi="Arial" w:cs="Arial"/>
          <w:bCs/>
          <w:sz w:val="20"/>
          <w:szCs w:val="20"/>
        </w:rPr>
        <w:t>(</w:t>
      </w:r>
      <w:r w:rsidRPr="008C57F4">
        <w:rPr>
          <w:rFonts w:ascii="Arial" w:hAnsi="Arial" w:cs="Arial"/>
          <w:bCs/>
          <w:sz w:val="20"/>
          <w:szCs w:val="20"/>
        </w:rPr>
        <w:t>to support climate</w:t>
      </w:r>
      <w:r>
        <w:rPr>
          <w:rFonts w:ascii="Arial" w:hAnsi="Arial" w:cs="Arial"/>
          <w:bCs/>
          <w:sz w:val="20"/>
          <w:szCs w:val="20"/>
        </w:rPr>
        <w:t>-related risk assessment and monitoring)</w:t>
      </w:r>
      <w:r w:rsidRPr="008C57F4">
        <w:rPr>
          <w:rFonts w:ascii="Arial" w:hAnsi="Arial" w:cs="Arial"/>
          <w:bCs/>
          <w:sz w:val="20"/>
          <w:szCs w:val="20"/>
        </w:rPr>
        <w:br/>
        <w:t xml:space="preserve">4. </w:t>
      </w:r>
      <w:r w:rsidRPr="008C57F4">
        <w:rPr>
          <w:rFonts w:ascii="Arial" w:hAnsi="Arial" w:cs="Arial"/>
          <w:bCs/>
          <w:sz w:val="20"/>
          <w:szCs w:val="20"/>
        </w:rPr>
        <w:tab/>
      </w:r>
      <w:r w:rsidRPr="008C57F4">
        <w:rPr>
          <w:rFonts w:ascii="Arial" w:hAnsi="Arial" w:cs="Arial"/>
          <w:bCs/>
          <w:sz w:val="20"/>
          <w:szCs w:val="20"/>
          <w:lang w:val="en-US"/>
        </w:rPr>
        <w:t>Thought leadership and policy advocacy</w:t>
      </w:r>
      <w:r w:rsidRPr="008C57F4">
        <w:rPr>
          <w:rFonts w:ascii="Arial" w:hAnsi="Arial" w:cs="Arial"/>
          <w:bCs/>
          <w:sz w:val="20"/>
          <w:szCs w:val="20"/>
          <w:lang w:val="en-US"/>
        </w:rPr>
        <w:br/>
        <w:t xml:space="preserve">5. </w:t>
      </w:r>
      <w:r w:rsidRPr="008C57F4">
        <w:rPr>
          <w:rFonts w:ascii="Arial" w:hAnsi="Arial" w:cs="Arial"/>
          <w:bCs/>
          <w:sz w:val="20"/>
          <w:szCs w:val="20"/>
          <w:lang w:val="en-US"/>
        </w:rPr>
        <w:tab/>
        <w:t>Assessment of investment managers and engagement with them</w:t>
      </w:r>
    </w:p>
    <w:p w14:paraId="41FCC0A9" w14:textId="77777777" w:rsidR="005B698D" w:rsidRPr="008C57F4" w:rsidRDefault="005B698D" w:rsidP="005B698D">
      <w:pPr>
        <w:spacing w:after="240" w:line="360" w:lineRule="auto"/>
        <w:rPr>
          <w:rFonts w:ascii="Arial" w:hAnsi="Arial" w:cs="Arial"/>
          <w:bCs/>
          <w:sz w:val="20"/>
          <w:szCs w:val="20"/>
        </w:rPr>
      </w:pPr>
      <w:r>
        <w:rPr>
          <w:rFonts w:ascii="Arial" w:hAnsi="Arial" w:cs="Arial"/>
          <w:bCs/>
          <w:sz w:val="20"/>
          <w:szCs w:val="20"/>
          <w:lang w:val="en-US"/>
        </w:rPr>
        <w:t xml:space="preserve">Examples of ‘positive’ and ‘best practice’ indicators are proposed for each theme to help trustees assess their consultants in each area, underscoring the commitment of the ICSWG to ongoing improvement of climate change practices. </w:t>
      </w:r>
    </w:p>
    <w:p w14:paraId="4E34D93C" w14:textId="13303208" w:rsidR="008C57F4" w:rsidRPr="008C57F4" w:rsidRDefault="008A1F17" w:rsidP="008C57F4">
      <w:pPr>
        <w:spacing w:after="0" w:line="360" w:lineRule="auto"/>
        <w:rPr>
          <w:rFonts w:ascii="Arial" w:hAnsi="Arial" w:cs="Arial"/>
          <w:sz w:val="20"/>
          <w:szCs w:val="20"/>
        </w:rPr>
      </w:pPr>
      <w:r w:rsidRPr="00F118D2">
        <w:rPr>
          <w:rFonts w:ascii="Arial" w:hAnsi="Arial" w:cs="Arial"/>
          <w:b/>
          <w:sz w:val="20"/>
          <w:szCs w:val="20"/>
        </w:rPr>
        <w:t xml:space="preserve">Ian </w:t>
      </w:r>
      <w:proofErr w:type="spellStart"/>
      <w:r w:rsidRPr="00F118D2">
        <w:rPr>
          <w:rFonts w:ascii="Arial" w:hAnsi="Arial" w:cs="Arial"/>
          <w:b/>
          <w:sz w:val="20"/>
          <w:szCs w:val="20"/>
        </w:rPr>
        <w:t>Gamon</w:t>
      </w:r>
      <w:proofErr w:type="spellEnd"/>
      <w:r w:rsidR="0023651D">
        <w:rPr>
          <w:rFonts w:ascii="Arial" w:hAnsi="Arial" w:cs="Arial"/>
          <w:b/>
          <w:sz w:val="20"/>
          <w:szCs w:val="20"/>
        </w:rPr>
        <w:t xml:space="preserve"> of </w:t>
      </w:r>
      <w:r w:rsidR="004C2481">
        <w:rPr>
          <w:rFonts w:ascii="Arial" w:hAnsi="Arial" w:cs="Arial"/>
          <w:b/>
          <w:sz w:val="20"/>
          <w:szCs w:val="20"/>
        </w:rPr>
        <w:t xml:space="preserve">LCP and </w:t>
      </w:r>
      <w:r w:rsidR="0023651D">
        <w:rPr>
          <w:rFonts w:ascii="Arial" w:hAnsi="Arial" w:cs="Arial"/>
          <w:b/>
          <w:sz w:val="20"/>
          <w:szCs w:val="20"/>
        </w:rPr>
        <w:t>the</w:t>
      </w:r>
      <w:r w:rsidR="008C57F4" w:rsidRPr="00B40547">
        <w:rPr>
          <w:rFonts w:ascii="Arial" w:hAnsi="Arial" w:cs="Arial"/>
          <w:b/>
          <w:sz w:val="20"/>
          <w:szCs w:val="20"/>
        </w:rPr>
        <w:t xml:space="preserve"> </w:t>
      </w:r>
      <w:r w:rsidRPr="00F118D2">
        <w:rPr>
          <w:rFonts w:ascii="Arial" w:hAnsi="Arial" w:cs="Arial"/>
          <w:b/>
          <w:sz w:val="20"/>
          <w:szCs w:val="20"/>
        </w:rPr>
        <w:t>ICSWG</w:t>
      </w:r>
      <w:r w:rsidR="0023651D">
        <w:rPr>
          <w:rFonts w:ascii="Arial" w:hAnsi="Arial" w:cs="Arial"/>
          <w:b/>
          <w:sz w:val="20"/>
          <w:szCs w:val="20"/>
        </w:rPr>
        <w:t>’s</w:t>
      </w:r>
      <w:r w:rsidRPr="00F118D2">
        <w:rPr>
          <w:rFonts w:ascii="Arial" w:hAnsi="Arial" w:cs="Arial"/>
          <w:b/>
          <w:sz w:val="20"/>
          <w:szCs w:val="20"/>
        </w:rPr>
        <w:t xml:space="preserve"> Regulation team </w:t>
      </w:r>
      <w:r w:rsidR="008C57F4" w:rsidRPr="00B40547">
        <w:rPr>
          <w:rFonts w:ascii="Arial" w:hAnsi="Arial" w:cs="Arial"/>
          <w:b/>
          <w:sz w:val="20"/>
          <w:szCs w:val="20"/>
        </w:rPr>
        <w:t>says</w:t>
      </w:r>
      <w:r w:rsidR="004C2481">
        <w:rPr>
          <w:rFonts w:ascii="Arial" w:hAnsi="Arial" w:cs="Arial"/>
          <w:b/>
          <w:sz w:val="20"/>
          <w:szCs w:val="20"/>
        </w:rPr>
        <w:t xml:space="preserve">: </w:t>
      </w:r>
      <w:r w:rsidR="008C57F4" w:rsidRPr="00F118D2">
        <w:rPr>
          <w:rFonts w:ascii="Arial" w:hAnsi="Arial" w:cs="Arial"/>
          <w:sz w:val="20"/>
          <w:szCs w:val="20"/>
        </w:rPr>
        <w:t>“</w:t>
      </w:r>
      <w:r w:rsidR="0042298E">
        <w:rPr>
          <w:rFonts w:ascii="Arial" w:hAnsi="Arial" w:cs="Arial"/>
          <w:sz w:val="20"/>
          <w:szCs w:val="20"/>
        </w:rPr>
        <w:t>C</w:t>
      </w:r>
      <w:r w:rsidR="00F41F59">
        <w:rPr>
          <w:rFonts w:ascii="Arial" w:hAnsi="Arial" w:cs="Arial"/>
          <w:sz w:val="20"/>
          <w:szCs w:val="20"/>
        </w:rPr>
        <w:t xml:space="preserve">limate change </w:t>
      </w:r>
      <w:r w:rsidR="0042298E">
        <w:rPr>
          <w:rFonts w:ascii="Arial" w:hAnsi="Arial" w:cs="Arial"/>
          <w:sz w:val="20"/>
          <w:szCs w:val="20"/>
        </w:rPr>
        <w:t xml:space="preserve">is </w:t>
      </w:r>
      <w:r w:rsidR="005F11AC">
        <w:rPr>
          <w:rFonts w:ascii="Arial" w:hAnsi="Arial" w:cs="Arial"/>
          <w:sz w:val="20"/>
          <w:szCs w:val="20"/>
        </w:rPr>
        <w:t xml:space="preserve">fast </w:t>
      </w:r>
      <w:r w:rsidR="0042298E">
        <w:rPr>
          <w:rFonts w:ascii="Arial" w:hAnsi="Arial" w:cs="Arial"/>
          <w:sz w:val="20"/>
          <w:szCs w:val="20"/>
        </w:rPr>
        <w:t>becoming the defining issue of our time</w:t>
      </w:r>
      <w:r w:rsidR="00BA1825">
        <w:rPr>
          <w:rFonts w:ascii="Arial" w:hAnsi="Arial" w:cs="Arial"/>
          <w:sz w:val="20"/>
          <w:szCs w:val="20"/>
        </w:rPr>
        <w:t xml:space="preserve"> and t</w:t>
      </w:r>
      <w:r w:rsidR="002D0425">
        <w:rPr>
          <w:rFonts w:ascii="Arial" w:hAnsi="Arial" w:cs="Arial"/>
          <w:sz w:val="20"/>
          <w:szCs w:val="20"/>
        </w:rPr>
        <w:t>rustees of pension schemes need to know the</w:t>
      </w:r>
      <w:r w:rsidR="00682338">
        <w:rPr>
          <w:rFonts w:ascii="Arial" w:hAnsi="Arial" w:cs="Arial"/>
          <w:sz w:val="20"/>
          <w:szCs w:val="20"/>
        </w:rPr>
        <w:t xml:space="preserve">ir advisers are on the front-foot </w:t>
      </w:r>
      <w:r w:rsidR="00673B6B">
        <w:rPr>
          <w:rFonts w:ascii="Arial" w:hAnsi="Arial" w:cs="Arial"/>
          <w:sz w:val="20"/>
          <w:szCs w:val="20"/>
        </w:rPr>
        <w:t>with this issue</w:t>
      </w:r>
      <w:r w:rsidR="00E33100">
        <w:rPr>
          <w:rFonts w:ascii="Arial" w:hAnsi="Arial" w:cs="Arial"/>
          <w:sz w:val="20"/>
          <w:szCs w:val="20"/>
        </w:rPr>
        <w:t xml:space="preserve">. </w:t>
      </w:r>
      <w:r w:rsidR="00881DB9">
        <w:rPr>
          <w:rFonts w:ascii="Arial" w:hAnsi="Arial" w:cs="Arial"/>
          <w:sz w:val="20"/>
          <w:szCs w:val="20"/>
        </w:rPr>
        <w:t xml:space="preserve"> </w:t>
      </w:r>
      <w:r w:rsidR="008E2F5A">
        <w:rPr>
          <w:rFonts w:ascii="Arial" w:hAnsi="Arial" w:cs="Arial"/>
          <w:sz w:val="20"/>
          <w:szCs w:val="20"/>
        </w:rPr>
        <w:t>W</w:t>
      </w:r>
      <w:r w:rsidR="00E33100">
        <w:rPr>
          <w:rFonts w:ascii="Arial" w:hAnsi="Arial" w:cs="Arial"/>
          <w:sz w:val="20"/>
          <w:szCs w:val="20"/>
        </w:rPr>
        <w:t>e are</w:t>
      </w:r>
      <w:r w:rsidR="00AE72D4">
        <w:rPr>
          <w:rFonts w:ascii="Arial" w:hAnsi="Arial" w:cs="Arial"/>
          <w:sz w:val="20"/>
          <w:szCs w:val="20"/>
        </w:rPr>
        <w:t xml:space="preserve"> really pleased to be publishing t</w:t>
      </w:r>
      <w:r w:rsidR="008C57F4" w:rsidRPr="008C57F4">
        <w:rPr>
          <w:rFonts w:ascii="Arial" w:hAnsi="Arial" w:cs="Arial"/>
          <w:sz w:val="20"/>
          <w:szCs w:val="20"/>
        </w:rPr>
        <w:t>h</w:t>
      </w:r>
      <w:r w:rsidR="0036323C">
        <w:rPr>
          <w:rFonts w:ascii="Arial" w:hAnsi="Arial" w:cs="Arial"/>
          <w:sz w:val="20"/>
          <w:szCs w:val="20"/>
        </w:rPr>
        <w:t xml:space="preserve">is </w:t>
      </w:r>
      <w:r w:rsidR="000C4627">
        <w:rPr>
          <w:rFonts w:ascii="Arial" w:hAnsi="Arial" w:cs="Arial"/>
          <w:sz w:val="20"/>
          <w:szCs w:val="20"/>
        </w:rPr>
        <w:t xml:space="preserve">new guide </w:t>
      </w:r>
      <w:r w:rsidR="00AE72D4">
        <w:rPr>
          <w:rFonts w:ascii="Arial" w:hAnsi="Arial" w:cs="Arial"/>
          <w:sz w:val="20"/>
          <w:szCs w:val="20"/>
        </w:rPr>
        <w:t xml:space="preserve">to give </w:t>
      </w:r>
      <w:r w:rsidR="00B83DBB">
        <w:rPr>
          <w:rFonts w:ascii="Arial" w:hAnsi="Arial" w:cs="Arial"/>
          <w:sz w:val="20"/>
          <w:szCs w:val="20"/>
        </w:rPr>
        <w:t xml:space="preserve">trustees </w:t>
      </w:r>
      <w:r w:rsidR="00E277C2">
        <w:rPr>
          <w:rFonts w:ascii="Arial" w:hAnsi="Arial" w:cs="Arial"/>
          <w:sz w:val="20"/>
          <w:szCs w:val="20"/>
        </w:rPr>
        <w:t xml:space="preserve">a practical way to </w:t>
      </w:r>
      <w:r w:rsidR="00450287">
        <w:rPr>
          <w:rFonts w:ascii="Arial" w:hAnsi="Arial" w:cs="Arial"/>
          <w:sz w:val="20"/>
          <w:szCs w:val="20"/>
        </w:rPr>
        <w:t>assess</w:t>
      </w:r>
      <w:r w:rsidR="00F41F59">
        <w:rPr>
          <w:rFonts w:ascii="Arial" w:hAnsi="Arial" w:cs="Arial"/>
          <w:sz w:val="20"/>
          <w:szCs w:val="20"/>
        </w:rPr>
        <w:t xml:space="preserve"> </w:t>
      </w:r>
      <w:r w:rsidR="008C57F4" w:rsidRPr="008C57F4">
        <w:rPr>
          <w:rFonts w:ascii="Arial" w:hAnsi="Arial" w:cs="Arial"/>
          <w:sz w:val="20"/>
          <w:szCs w:val="20"/>
        </w:rPr>
        <w:t xml:space="preserve">the capabilities and approach of their investment </w:t>
      </w:r>
      <w:r w:rsidR="00B726D2">
        <w:rPr>
          <w:rFonts w:ascii="Arial" w:hAnsi="Arial" w:cs="Arial"/>
          <w:sz w:val="20"/>
          <w:szCs w:val="20"/>
        </w:rPr>
        <w:t>consultants on climate</w:t>
      </w:r>
      <w:r w:rsidR="00881DB9">
        <w:rPr>
          <w:rFonts w:ascii="Arial" w:hAnsi="Arial" w:cs="Arial"/>
          <w:sz w:val="20"/>
          <w:szCs w:val="20"/>
        </w:rPr>
        <w:t xml:space="preserve"> change</w:t>
      </w:r>
      <w:r w:rsidR="008C57F4" w:rsidRPr="008C57F4">
        <w:rPr>
          <w:rFonts w:ascii="Arial" w:hAnsi="Arial" w:cs="Arial"/>
          <w:sz w:val="20"/>
          <w:szCs w:val="20"/>
        </w:rPr>
        <w:t>.”</w:t>
      </w:r>
    </w:p>
    <w:p w14:paraId="5C7EC4C3" w14:textId="77777777" w:rsidR="008C57F4" w:rsidRPr="008C57F4" w:rsidRDefault="008C57F4" w:rsidP="008C57F4">
      <w:pPr>
        <w:spacing w:after="0" w:line="360" w:lineRule="auto"/>
        <w:rPr>
          <w:rFonts w:ascii="Arial" w:hAnsi="Arial" w:cs="Arial"/>
          <w:sz w:val="20"/>
          <w:szCs w:val="20"/>
        </w:rPr>
      </w:pPr>
    </w:p>
    <w:p w14:paraId="1F63B997" w14:textId="660EFA7E" w:rsidR="008C57F4" w:rsidRPr="008C57F4" w:rsidRDefault="008A1F17" w:rsidP="008C57F4">
      <w:pPr>
        <w:spacing w:after="240" w:line="360" w:lineRule="auto"/>
        <w:rPr>
          <w:rFonts w:ascii="Arial" w:hAnsi="Arial" w:cs="Arial"/>
          <w:color w:val="000000" w:themeColor="text1"/>
          <w:sz w:val="20"/>
          <w:szCs w:val="20"/>
        </w:rPr>
      </w:pPr>
      <w:r w:rsidRPr="00B40547">
        <w:rPr>
          <w:rFonts w:ascii="Arial" w:hAnsi="Arial" w:cs="Arial"/>
          <w:b/>
          <w:sz w:val="20"/>
          <w:szCs w:val="20"/>
        </w:rPr>
        <w:t xml:space="preserve">Luba </w:t>
      </w:r>
      <w:proofErr w:type="spellStart"/>
      <w:r w:rsidRPr="00B40547">
        <w:rPr>
          <w:rFonts w:ascii="Arial" w:hAnsi="Arial" w:cs="Arial"/>
          <w:b/>
          <w:sz w:val="20"/>
          <w:szCs w:val="20"/>
        </w:rPr>
        <w:t>Nikulina</w:t>
      </w:r>
      <w:proofErr w:type="spellEnd"/>
      <w:r w:rsidR="008C57F4" w:rsidRPr="00B40547">
        <w:rPr>
          <w:rFonts w:ascii="Arial" w:hAnsi="Arial" w:cs="Arial"/>
          <w:b/>
          <w:color w:val="000000" w:themeColor="text1"/>
          <w:sz w:val="20"/>
          <w:szCs w:val="20"/>
        </w:rPr>
        <w:t xml:space="preserve">, </w:t>
      </w:r>
      <w:r w:rsidR="004C2481">
        <w:rPr>
          <w:rFonts w:ascii="Arial" w:hAnsi="Arial" w:cs="Arial"/>
          <w:b/>
          <w:color w:val="000000" w:themeColor="text1"/>
          <w:sz w:val="20"/>
          <w:szCs w:val="20"/>
        </w:rPr>
        <w:t xml:space="preserve">of Willis Towers Watson and </w:t>
      </w:r>
      <w:r w:rsidRPr="00B40547">
        <w:rPr>
          <w:rFonts w:ascii="Arial" w:hAnsi="Arial" w:cs="Arial"/>
          <w:b/>
          <w:sz w:val="20"/>
          <w:szCs w:val="20"/>
        </w:rPr>
        <w:t xml:space="preserve">co-Chair of the ICSWG </w:t>
      </w:r>
      <w:r w:rsidR="008C57F4" w:rsidRPr="00B40547">
        <w:rPr>
          <w:rFonts w:ascii="Arial" w:hAnsi="Arial" w:cs="Arial"/>
          <w:b/>
          <w:color w:val="000000" w:themeColor="text1"/>
          <w:sz w:val="20"/>
          <w:szCs w:val="20"/>
        </w:rPr>
        <w:t>says</w:t>
      </w:r>
      <w:r w:rsidR="008C57F4" w:rsidRPr="00F118D2">
        <w:rPr>
          <w:rFonts w:ascii="Arial" w:hAnsi="Arial" w:cs="Arial"/>
          <w:color w:val="000000" w:themeColor="text1"/>
          <w:sz w:val="20"/>
          <w:szCs w:val="20"/>
        </w:rPr>
        <w:t xml:space="preserve"> “The</w:t>
      </w:r>
      <w:r w:rsidR="008C57F4" w:rsidRPr="00F118D2">
        <w:rPr>
          <w:rFonts w:ascii="Arial" w:eastAsia="Calibri" w:hAnsi="Arial" w:cs="Arial"/>
          <w:color w:val="000000" w:themeColor="text1"/>
          <w:sz w:val="20"/>
          <w:szCs w:val="20"/>
        </w:rPr>
        <w:t xml:space="preserve"> indicators are </w:t>
      </w:r>
      <w:r w:rsidR="008C57F4" w:rsidRPr="00F118D2">
        <w:rPr>
          <w:rFonts w:ascii="Arial" w:hAnsi="Arial" w:cs="Arial"/>
          <w:color w:val="000000" w:themeColor="text1"/>
          <w:sz w:val="20"/>
          <w:szCs w:val="20"/>
        </w:rPr>
        <w:t>deliberately stretching with the aim</w:t>
      </w:r>
      <w:r w:rsidR="008C57F4" w:rsidRPr="008C57F4">
        <w:rPr>
          <w:rFonts w:ascii="Arial" w:hAnsi="Arial" w:cs="Arial"/>
          <w:color w:val="000000" w:themeColor="text1"/>
          <w:sz w:val="20"/>
          <w:szCs w:val="20"/>
        </w:rPr>
        <w:t xml:space="preserve"> of raising investment consultants’ standards and it should be acknowledged that some of these indicators will be aspirational. However, this is an important step towards developing good practice and practical guidance for schemes, </w:t>
      </w:r>
      <w:proofErr w:type="gramStart"/>
      <w:r w:rsidR="008C57F4" w:rsidRPr="008C57F4">
        <w:rPr>
          <w:rFonts w:ascii="Arial" w:hAnsi="Arial" w:cs="Arial"/>
          <w:color w:val="000000" w:themeColor="text1"/>
          <w:sz w:val="20"/>
          <w:szCs w:val="20"/>
        </w:rPr>
        <w:t>in particular those</w:t>
      </w:r>
      <w:proofErr w:type="gramEnd"/>
      <w:r w:rsidR="008C57F4" w:rsidRPr="008C57F4">
        <w:rPr>
          <w:rFonts w:ascii="Arial" w:hAnsi="Arial" w:cs="Arial"/>
          <w:color w:val="000000" w:themeColor="text1"/>
          <w:sz w:val="20"/>
          <w:szCs w:val="20"/>
        </w:rPr>
        <w:t xml:space="preserve"> seeking to align with the </w:t>
      </w:r>
      <w:r w:rsidR="005A1473">
        <w:rPr>
          <w:rFonts w:ascii="Arial" w:hAnsi="Arial" w:cs="Arial"/>
          <w:color w:val="000000" w:themeColor="text1"/>
          <w:sz w:val="20"/>
          <w:szCs w:val="20"/>
        </w:rPr>
        <w:t xml:space="preserve">recommendations of the </w:t>
      </w:r>
      <w:r w:rsidR="008C57F4" w:rsidRPr="008C57F4">
        <w:rPr>
          <w:rFonts w:ascii="Arial" w:hAnsi="Arial" w:cs="Arial"/>
          <w:color w:val="000000" w:themeColor="text1"/>
          <w:sz w:val="20"/>
          <w:szCs w:val="20"/>
        </w:rPr>
        <w:t>Taskforce on Climate-Related Financial Disclosures (TCFD).”</w:t>
      </w:r>
    </w:p>
    <w:p w14:paraId="4FD3A3C8" w14:textId="0742370C" w:rsidR="008C57F4" w:rsidRDefault="008A1F17" w:rsidP="008C57F4">
      <w:pPr>
        <w:spacing w:after="0" w:line="360" w:lineRule="auto"/>
        <w:rPr>
          <w:rFonts w:ascii="Arial" w:hAnsi="Arial" w:cs="Arial"/>
          <w:sz w:val="20"/>
          <w:szCs w:val="20"/>
        </w:rPr>
      </w:pPr>
      <w:r w:rsidRPr="00B40547">
        <w:rPr>
          <w:rFonts w:ascii="Arial" w:hAnsi="Arial" w:cs="Arial"/>
          <w:b/>
          <w:color w:val="000000" w:themeColor="text1"/>
          <w:sz w:val="20"/>
          <w:szCs w:val="20"/>
        </w:rPr>
        <w:t>Amanda Latham</w:t>
      </w:r>
      <w:r w:rsidR="00D343AD" w:rsidRPr="00F118D2">
        <w:rPr>
          <w:rFonts w:ascii="Arial" w:hAnsi="Arial" w:cs="Arial"/>
          <w:b/>
          <w:color w:val="000000" w:themeColor="text1"/>
          <w:sz w:val="20"/>
          <w:szCs w:val="20"/>
        </w:rPr>
        <w:t xml:space="preserve">, </w:t>
      </w:r>
      <w:r w:rsidR="004C2481">
        <w:rPr>
          <w:rFonts w:ascii="Arial" w:hAnsi="Arial" w:cs="Arial"/>
          <w:b/>
          <w:color w:val="000000" w:themeColor="text1"/>
          <w:sz w:val="20"/>
          <w:szCs w:val="20"/>
        </w:rPr>
        <w:t xml:space="preserve">of Barnett Waddingham and </w:t>
      </w:r>
      <w:r w:rsidR="00D343AD" w:rsidRPr="00F118D2">
        <w:rPr>
          <w:rFonts w:ascii="Arial" w:hAnsi="Arial" w:cs="Arial"/>
          <w:b/>
          <w:color w:val="000000" w:themeColor="text1"/>
          <w:sz w:val="20"/>
          <w:szCs w:val="20"/>
        </w:rPr>
        <w:t>Lead for the</w:t>
      </w:r>
      <w:r w:rsidR="008C57F4" w:rsidRPr="00F118D2">
        <w:rPr>
          <w:rFonts w:ascii="Arial" w:hAnsi="Arial" w:cs="Arial"/>
          <w:b/>
          <w:sz w:val="20"/>
          <w:szCs w:val="20"/>
        </w:rPr>
        <w:t xml:space="preserve"> </w:t>
      </w:r>
      <w:r w:rsidRPr="00B40547">
        <w:rPr>
          <w:rFonts w:ascii="Arial" w:hAnsi="Arial" w:cs="Arial"/>
          <w:b/>
          <w:color w:val="000000" w:themeColor="text1"/>
          <w:sz w:val="20"/>
          <w:szCs w:val="20"/>
        </w:rPr>
        <w:t>ICSWG</w:t>
      </w:r>
      <w:r w:rsidR="00D343AD" w:rsidRPr="00B40547">
        <w:rPr>
          <w:rFonts w:ascii="Arial" w:hAnsi="Arial" w:cs="Arial"/>
          <w:b/>
          <w:color w:val="000000" w:themeColor="text1"/>
          <w:sz w:val="20"/>
          <w:szCs w:val="20"/>
        </w:rPr>
        <w:t>’s</w:t>
      </w:r>
      <w:r w:rsidRPr="00B40547">
        <w:rPr>
          <w:rFonts w:ascii="Arial" w:hAnsi="Arial" w:cs="Arial"/>
          <w:b/>
          <w:color w:val="000000" w:themeColor="text1"/>
          <w:sz w:val="20"/>
          <w:szCs w:val="20"/>
        </w:rPr>
        <w:t xml:space="preserve"> Stewardship team</w:t>
      </w:r>
      <w:r w:rsidR="004C2481">
        <w:rPr>
          <w:rFonts w:ascii="Arial" w:hAnsi="Arial" w:cs="Arial"/>
          <w:b/>
          <w:color w:val="000000" w:themeColor="text1"/>
          <w:sz w:val="20"/>
          <w:szCs w:val="20"/>
        </w:rPr>
        <w:t>,</w:t>
      </w:r>
      <w:r w:rsidRPr="00B40547">
        <w:rPr>
          <w:rFonts w:ascii="Arial" w:hAnsi="Arial" w:cs="Arial"/>
          <w:b/>
          <w:color w:val="000000" w:themeColor="text1"/>
          <w:sz w:val="20"/>
          <w:szCs w:val="20"/>
        </w:rPr>
        <w:t xml:space="preserve"> </w:t>
      </w:r>
      <w:r w:rsidR="008C57F4" w:rsidRPr="00F118D2">
        <w:rPr>
          <w:rFonts w:ascii="Arial" w:hAnsi="Arial" w:cs="Arial"/>
          <w:b/>
          <w:sz w:val="20"/>
          <w:szCs w:val="20"/>
        </w:rPr>
        <w:t>says</w:t>
      </w:r>
      <w:r w:rsidR="004C2481">
        <w:rPr>
          <w:rFonts w:ascii="Arial" w:hAnsi="Arial" w:cs="Arial"/>
          <w:sz w:val="20"/>
          <w:szCs w:val="20"/>
        </w:rPr>
        <w:t xml:space="preserve">: </w:t>
      </w:r>
      <w:r w:rsidR="008C57F4" w:rsidRPr="00F118D2">
        <w:rPr>
          <w:rFonts w:ascii="Arial" w:hAnsi="Arial" w:cs="Arial"/>
          <w:sz w:val="20"/>
          <w:szCs w:val="20"/>
        </w:rPr>
        <w:t>“This guide represents a</w:t>
      </w:r>
      <w:r w:rsidR="008C57F4" w:rsidRPr="008C57F4">
        <w:rPr>
          <w:rFonts w:ascii="Arial" w:hAnsi="Arial" w:cs="Arial"/>
          <w:sz w:val="20"/>
          <w:szCs w:val="20"/>
        </w:rPr>
        <w:t xml:space="preserve"> powerful example of what can be achieved through a collective commitment to improvement and collaboration in the delivery of meaningful change. But, it doesn’t end here. We </w:t>
      </w:r>
      <w:r w:rsidR="008C57F4" w:rsidRPr="008C57F4">
        <w:rPr>
          <w:rFonts w:ascii="Arial" w:hAnsi="Arial" w:cs="Arial"/>
          <w:sz w:val="20"/>
          <w:szCs w:val="20"/>
        </w:rPr>
        <w:lastRenderedPageBreak/>
        <w:t xml:space="preserve">will be engaging with trustees, </w:t>
      </w:r>
      <w:r w:rsidR="009413FF">
        <w:rPr>
          <w:rFonts w:ascii="Arial" w:hAnsi="Arial" w:cs="Arial"/>
          <w:sz w:val="20"/>
          <w:szCs w:val="20"/>
        </w:rPr>
        <w:t xml:space="preserve">regulators </w:t>
      </w:r>
      <w:r w:rsidR="008C57F4" w:rsidRPr="008C57F4">
        <w:rPr>
          <w:rFonts w:ascii="Arial" w:hAnsi="Arial" w:cs="Arial"/>
          <w:sz w:val="20"/>
          <w:szCs w:val="20"/>
        </w:rPr>
        <w:t xml:space="preserve">and </w:t>
      </w:r>
      <w:r w:rsidR="00CD7070">
        <w:rPr>
          <w:rFonts w:ascii="Arial" w:hAnsi="Arial" w:cs="Arial"/>
          <w:sz w:val="20"/>
          <w:szCs w:val="20"/>
        </w:rPr>
        <w:t>action groups</w:t>
      </w:r>
      <w:r w:rsidR="008C57F4" w:rsidRPr="008C57F4">
        <w:rPr>
          <w:rFonts w:ascii="Arial" w:hAnsi="Arial" w:cs="Arial"/>
          <w:sz w:val="20"/>
          <w:szCs w:val="20"/>
        </w:rPr>
        <w:t xml:space="preserve">, to measure the impact of the guide and will share progress </w:t>
      </w:r>
      <w:r w:rsidR="008C57F4">
        <w:rPr>
          <w:rFonts w:ascii="Arial" w:hAnsi="Arial" w:cs="Arial"/>
          <w:sz w:val="20"/>
          <w:szCs w:val="20"/>
        </w:rPr>
        <w:t>later this year</w:t>
      </w:r>
      <w:r w:rsidR="008C57F4" w:rsidRPr="008C57F4">
        <w:rPr>
          <w:rFonts w:ascii="Arial" w:hAnsi="Arial" w:cs="Arial"/>
          <w:sz w:val="20"/>
          <w:szCs w:val="20"/>
        </w:rPr>
        <w:t>.”</w:t>
      </w:r>
    </w:p>
    <w:p w14:paraId="2CFE2E41" w14:textId="399E553E" w:rsidR="00BE1FFF" w:rsidRPr="00DC37E5" w:rsidRDefault="00BE1FFF" w:rsidP="00BE1FFF">
      <w:pPr>
        <w:spacing w:line="360" w:lineRule="auto"/>
        <w:jc w:val="both"/>
        <w:rPr>
          <w:rFonts w:ascii="Arial" w:hAnsi="Arial" w:cs="Arial"/>
          <w:iCs/>
          <w:sz w:val="20"/>
          <w:szCs w:val="20"/>
        </w:rPr>
      </w:pPr>
      <w:r>
        <w:rPr>
          <w:rFonts w:ascii="Arial" w:hAnsi="Arial" w:cs="Arial"/>
          <w:sz w:val="20"/>
          <w:szCs w:val="20"/>
        </w:rPr>
        <w:br/>
      </w:r>
      <w:r w:rsidRPr="00DC37E5">
        <w:rPr>
          <w:rFonts w:ascii="Arial" w:hAnsi="Arial" w:cs="Arial"/>
          <w:b/>
          <w:bCs/>
          <w:iCs/>
          <w:sz w:val="20"/>
          <w:szCs w:val="20"/>
        </w:rPr>
        <w:t xml:space="preserve">Brian Henderson, </w:t>
      </w:r>
      <w:r>
        <w:rPr>
          <w:rFonts w:ascii="Arial" w:hAnsi="Arial" w:cs="Arial"/>
          <w:b/>
          <w:bCs/>
          <w:iCs/>
          <w:sz w:val="20"/>
          <w:szCs w:val="20"/>
        </w:rPr>
        <w:t xml:space="preserve">of </w:t>
      </w:r>
      <w:r w:rsidRPr="00DC37E5">
        <w:rPr>
          <w:rFonts w:ascii="Arial" w:hAnsi="Arial" w:cs="Arial"/>
          <w:b/>
          <w:bCs/>
          <w:iCs/>
          <w:sz w:val="20"/>
          <w:szCs w:val="20"/>
        </w:rPr>
        <w:t>Mercer</w:t>
      </w:r>
      <w:r w:rsidRPr="00BE1FFF">
        <w:rPr>
          <w:rFonts w:ascii="Arial" w:hAnsi="Arial" w:cs="Arial"/>
          <w:b/>
          <w:sz w:val="20"/>
          <w:szCs w:val="20"/>
        </w:rPr>
        <w:t xml:space="preserve"> </w:t>
      </w:r>
      <w:r>
        <w:rPr>
          <w:rFonts w:ascii="Arial" w:hAnsi="Arial" w:cs="Arial"/>
          <w:b/>
          <w:sz w:val="20"/>
          <w:szCs w:val="20"/>
        </w:rPr>
        <w:t>and the</w:t>
      </w:r>
      <w:r w:rsidRPr="00B40547">
        <w:rPr>
          <w:rFonts w:ascii="Arial" w:hAnsi="Arial" w:cs="Arial"/>
          <w:b/>
          <w:sz w:val="20"/>
          <w:szCs w:val="20"/>
        </w:rPr>
        <w:t xml:space="preserve"> </w:t>
      </w:r>
      <w:r w:rsidRPr="00F118D2">
        <w:rPr>
          <w:rFonts w:ascii="Arial" w:hAnsi="Arial" w:cs="Arial"/>
          <w:b/>
          <w:sz w:val="20"/>
          <w:szCs w:val="20"/>
        </w:rPr>
        <w:t>ICSWG</w:t>
      </w:r>
      <w:r>
        <w:rPr>
          <w:rFonts w:ascii="Arial" w:hAnsi="Arial" w:cs="Arial"/>
          <w:b/>
          <w:sz w:val="20"/>
          <w:szCs w:val="20"/>
        </w:rPr>
        <w:t>’s</w:t>
      </w:r>
      <w:r w:rsidRPr="00F118D2">
        <w:rPr>
          <w:rFonts w:ascii="Arial" w:hAnsi="Arial" w:cs="Arial"/>
          <w:b/>
          <w:sz w:val="20"/>
          <w:szCs w:val="20"/>
        </w:rPr>
        <w:t xml:space="preserve"> Regulation team </w:t>
      </w:r>
      <w:r w:rsidRPr="00B40547">
        <w:rPr>
          <w:rFonts w:ascii="Arial" w:hAnsi="Arial" w:cs="Arial"/>
          <w:b/>
          <w:sz w:val="20"/>
          <w:szCs w:val="20"/>
        </w:rPr>
        <w:t>says</w:t>
      </w:r>
      <w:r>
        <w:rPr>
          <w:rFonts w:ascii="Arial" w:hAnsi="Arial" w:cs="Arial"/>
          <w:b/>
          <w:sz w:val="20"/>
          <w:szCs w:val="20"/>
        </w:rPr>
        <w:t xml:space="preserve">: </w:t>
      </w:r>
      <w:r>
        <w:rPr>
          <w:rFonts w:ascii="Arial" w:hAnsi="Arial" w:cs="Arial"/>
          <w:iCs/>
          <w:sz w:val="20"/>
          <w:szCs w:val="20"/>
        </w:rPr>
        <w:t>“</w:t>
      </w:r>
      <w:r w:rsidRPr="00DC37E5">
        <w:rPr>
          <w:rFonts w:ascii="Arial" w:hAnsi="Arial" w:cs="Arial"/>
          <w:iCs/>
          <w:sz w:val="20"/>
          <w:szCs w:val="20"/>
        </w:rPr>
        <w:t>We are pleased to have developed the climate competency framework to help deliver better outcomes for our clients. The framework illustrates areas where clients can hold consultants to account in terms of their competency in supporting evidence-based climate change related decisions. It i</w:t>
      </w:r>
      <w:r>
        <w:rPr>
          <w:rFonts w:ascii="Arial" w:hAnsi="Arial" w:cs="Arial"/>
          <w:iCs/>
          <w:sz w:val="20"/>
          <w:szCs w:val="20"/>
        </w:rPr>
        <w:t>s important that pension scheme</w:t>
      </w:r>
      <w:r w:rsidRPr="00DC37E5">
        <w:rPr>
          <w:rFonts w:ascii="Arial" w:hAnsi="Arial" w:cs="Arial"/>
          <w:iCs/>
          <w:sz w:val="20"/>
          <w:szCs w:val="20"/>
        </w:rPr>
        <w:t xml:space="preserve"> trustees ask their consultants and asset managers to demonstrate a best practice approach to climate competence. We are already in the decade of transition and to deliver returns for our clients we need to understand the risks and opportunities that the transition will bring. The framework is a step in the right direction and we look forward to the value it will add to our industry.”</w:t>
      </w:r>
    </w:p>
    <w:p w14:paraId="56F57786" w14:textId="6C091671" w:rsidR="00B40547" w:rsidRPr="0097363C" w:rsidRDefault="004C2481" w:rsidP="00B40547">
      <w:pPr>
        <w:spacing w:after="0" w:line="240" w:lineRule="auto"/>
        <w:rPr>
          <w:rFonts w:ascii="Arial" w:hAnsi="Arial" w:cs="Arial"/>
          <w:sz w:val="20"/>
          <w:szCs w:val="20"/>
        </w:rPr>
      </w:pPr>
      <w:r>
        <w:rPr>
          <w:rFonts w:ascii="Arial" w:hAnsi="Arial" w:cs="Arial"/>
          <w:sz w:val="20"/>
          <w:szCs w:val="20"/>
        </w:rPr>
        <w:br/>
      </w:r>
      <w:r w:rsidR="00B40547" w:rsidRPr="0097363C">
        <w:rPr>
          <w:rFonts w:ascii="Arial" w:hAnsi="Arial" w:cs="Arial"/>
          <w:sz w:val="20"/>
          <w:szCs w:val="20"/>
        </w:rPr>
        <w:t xml:space="preserve">The </w:t>
      </w:r>
      <w:r w:rsidR="00B40547">
        <w:rPr>
          <w:rFonts w:ascii="Arial" w:hAnsi="Arial" w:cs="Arial"/>
          <w:sz w:val="20"/>
          <w:szCs w:val="20"/>
        </w:rPr>
        <w:t xml:space="preserve">guide </w:t>
      </w:r>
      <w:r w:rsidR="00B40547" w:rsidRPr="0097363C">
        <w:rPr>
          <w:rFonts w:ascii="Arial" w:hAnsi="Arial" w:cs="Arial"/>
          <w:sz w:val="20"/>
          <w:szCs w:val="20"/>
        </w:rPr>
        <w:t>i</w:t>
      </w:r>
      <w:r w:rsidR="004A59C6">
        <w:rPr>
          <w:rFonts w:ascii="Arial" w:hAnsi="Arial" w:cs="Arial"/>
          <w:sz w:val="20"/>
          <w:szCs w:val="20"/>
        </w:rPr>
        <w:t xml:space="preserve">s supported by the member firms. </w:t>
      </w:r>
    </w:p>
    <w:p w14:paraId="21F74385" w14:textId="77777777" w:rsidR="00B40547" w:rsidRDefault="00B40547" w:rsidP="00B40547">
      <w:pPr>
        <w:spacing w:after="0" w:line="240" w:lineRule="auto"/>
        <w:rPr>
          <w:rFonts w:ascii="Arial" w:hAnsi="Arial" w:cs="Arial"/>
          <w:b/>
          <w:sz w:val="20"/>
          <w:szCs w:val="20"/>
        </w:rPr>
      </w:pPr>
    </w:p>
    <w:p w14:paraId="25E6181D" w14:textId="77777777" w:rsidR="00B40547" w:rsidRDefault="00B40547" w:rsidP="00B40547">
      <w:pPr>
        <w:spacing w:after="0" w:line="240" w:lineRule="auto"/>
        <w:rPr>
          <w:rFonts w:ascii="Arial" w:hAnsi="Arial" w:cs="Arial"/>
          <w:b/>
          <w:sz w:val="20"/>
          <w:szCs w:val="20"/>
        </w:rPr>
      </w:pPr>
    </w:p>
    <w:p w14:paraId="779CA7F6" w14:textId="77777777" w:rsidR="00087405" w:rsidRPr="00087405" w:rsidRDefault="00087405" w:rsidP="00087405">
      <w:pPr>
        <w:spacing w:line="360" w:lineRule="auto"/>
        <w:rPr>
          <w:rFonts w:ascii="Arial" w:hAnsi="Arial" w:cs="Arial"/>
          <w:iCs/>
          <w:sz w:val="20"/>
          <w:szCs w:val="20"/>
        </w:rPr>
      </w:pPr>
      <w:r w:rsidRPr="00087405">
        <w:rPr>
          <w:rFonts w:ascii="Arial" w:hAnsi="Arial" w:cs="Arial"/>
          <w:b/>
          <w:iCs/>
          <w:sz w:val="20"/>
          <w:szCs w:val="20"/>
        </w:rPr>
        <w:t>John Belgrove, Senior Partner at Aon, says:</w:t>
      </w:r>
      <w:r w:rsidRPr="00087405">
        <w:rPr>
          <w:rFonts w:ascii="Arial" w:hAnsi="Arial" w:cs="Arial"/>
          <w:iCs/>
          <w:sz w:val="20"/>
          <w:szCs w:val="20"/>
        </w:rPr>
        <w:t xml:space="preserve"> “This new and powerful initiative underscores the importance the UK consulting industry places on the urgent climate change challenge and on its role in supporting all market participants to play their part. It is a further demonstration of Aon’s commitment to the industry working together to drive ever-higher standards and collective accountability. We look forward to putting the climate competency framework into practice.”</w:t>
      </w:r>
    </w:p>
    <w:p w14:paraId="500C2DD7" w14:textId="053D3B53" w:rsidR="004A59C6" w:rsidRDefault="004A59C6" w:rsidP="004A59C6">
      <w:pPr>
        <w:spacing w:line="360" w:lineRule="auto"/>
        <w:rPr>
          <w:rFonts w:ascii="Arial" w:hAnsi="Arial" w:cs="Arial"/>
          <w:sz w:val="20"/>
          <w:szCs w:val="20"/>
        </w:rPr>
      </w:pPr>
      <w:proofErr w:type="spellStart"/>
      <w:r w:rsidRPr="004A59C6">
        <w:rPr>
          <w:rFonts w:ascii="Arial" w:hAnsi="Arial" w:cs="Arial"/>
          <w:b/>
          <w:sz w:val="20"/>
          <w:szCs w:val="20"/>
        </w:rPr>
        <w:t>Celene</w:t>
      </w:r>
      <w:proofErr w:type="spellEnd"/>
      <w:r w:rsidRPr="004A59C6">
        <w:rPr>
          <w:rFonts w:ascii="Arial" w:hAnsi="Arial" w:cs="Arial"/>
          <w:b/>
          <w:sz w:val="20"/>
          <w:szCs w:val="20"/>
        </w:rPr>
        <w:t xml:space="preserve"> Lee, Principal at Buck, says:</w:t>
      </w:r>
      <w:r w:rsidRPr="004A59C6">
        <w:rPr>
          <w:rFonts w:ascii="Arial" w:hAnsi="Arial" w:cs="Arial"/>
          <w:sz w:val="20"/>
          <w:szCs w:val="20"/>
        </w:rPr>
        <w:t xml:space="preserve"> “We view this is an important step forward to helping our clients assess their Investment Consultant’s commitment to this field. We have seen growing demand from clients for practical, evidence-based solutions to ESG and believe this is an important move towards consensus on best practice. Buck are committed to supporting our clients as they tackle these issues which will continue to grow in importance in the coming years”</w:t>
      </w:r>
      <w:r>
        <w:rPr>
          <w:rFonts w:ascii="Arial" w:hAnsi="Arial" w:cs="Arial"/>
          <w:sz w:val="20"/>
          <w:szCs w:val="20"/>
        </w:rPr>
        <w:t xml:space="preserve"> </w:t>
      </w:r>
    </w:p>
    <w:p w14:paraId="191984B2" w14:textId="4E73D70D" w:rsidR="0020400B" w:rsidRDefault="0020400B" w:rsidP="0020400B">
      <w:pPr>
        <w:spacing w:line="360" w:lineRule="auto"/>
        <w:rPr>
          <w:rFonts w:ascii="Arial" w:hAnsi="Arial" w:cs="Arial"/>
          <w:b/>
          <w:sz w:val="20"/>
          <w:szCs w:val="20"/>
        </w:rPr>
      </w:pPr>
      <w:proofErr w:type="spellStart"/>
      <w:r w:rsidRPr="0020400B">
        <w:rPr>
          <w:rFonts w:ascii="Arial" w:hAnsi="Arial" w:cs="Arial"/>
          <w:b/>
          <w:sz w:val="20"/>
          <w:szCs w:val="20"/>
        </w:rPr>
        <w:t>Annachiara</w:t>
      </w:r>
      <w:proofErr w:type="spellEnd"/>
      <w:r w:rsidRPr="0020400B">
        <w:rPr>
          <w:rFonts w:ascii="Arial" w:hAnsi="Arial" w:cs="Arial"/>
          <w:b/>
          <w:sz w:val="20"/>
          <w:szCs w:val="20"/>
        </w:rPr>
        <w:t xml:space="preserve"> </w:t>
      </w:r>
      <w:proofErr w:type="spellStart"/>
      <w:r w:rsidRPr="0020400B">
        <w:rPr>
          <w:rFonts w:ascii="Arial" w:hAnsi="Arial" w:cs="Arial"/>
          <w:b/>
          <w:sz w:val="20"/>
          <w:szCs w:val="20"/>
        </w:rPr>
        <w:t>Marcandalli</w:t>
      </w:r>
      <w:proofErr w:type="spellEnd"/>
      <w:r w:rsidRPr="0020400B">
        <w:rPr>
          <w:rFonts w:ascii="Arial" w:hAnsi="Arial" w:cs="Arial"/>
          <w:b/>
          <w:sz w:val="20"/>
          <w:szCs w:val="20"/>
        </w:rPr>
        <w:t>, Head of Sustainable Investing for Europe, Cambridge Associates</w:t>
      </w:r>
      <w:r>
        <w:rPr>
          <w:rFonts w:ascii="Arial" w:hAnsi="Arial" w:cs="Arial"/>
          <w:b/>
          <w:sz w:val="20"/>
          <w:szCs w:val="20"/>
        </w:rPr>
        <w:t xml:space="preserve">, says: </w:t>
      </w:r>
      <w:r w:rsidRPr="0020400B">
        <w:rPr>
          <w:rFonts w:ascii="Arial" w:hAnsi="Arial" w:cs="Arial"/>
          <w:bCs/>
          <w:sz w:val="20"/>
          <w:szCs w:val="20"/>
        </w:rPr>
        <w:t>“We are investors, not scientist, but we also think like scientist, and what we are seeing in our data is that climate change is affecting both risks and opportunities for asset owners. Adding the dimension of climate resilience to both asset allocation and manager selection is a necessary step towards building greater resilience and long term out-performance.”</w:t>
      </w:r>
    </w:p>
    <w:p w14:paraId="3D94001D" w14:textId="18FD03E9" w:rsidR="005E0D7B" w:rsidRPr="004A59C6" w:rsidRDefault="005E0D7B" w:rsidP="004A59C6">
      <w:pPr>
        <w:pStyle w:val="xmsonormal"/>
        <w:spacing w:line="360" w:lineRule="auto"/>
        <w:rPr>
          <w:rFonts w:ascii="Arial" w:hAnsi="Arial" w:cs="Arial"/>
          <w:sz w:val="20"/>
          <w:szCs w:val="20"/>
        </w:rPr>
      </w:pPr>
      <w:r w:rsidRPr="004A59C6">
        <w:rPr>
          <w:rFonts w:ascii="Arial" w:hAnsi="Arial" w:cs="Arial"/>
          <w:b/>
          <w:sz w:val="20"/>
          <w:szCs w:val="20"/>
        </w:rPr>
        <w:t>Keith</w:t>
      </w:r>
      <w:r w:rsidR="004A59C6" w:rsidRPr="004A59C6">
        <w:rPr>
          <w:rFonts w:ascii="Arial" w:hAnsi="Arial" w:cs="Arial"/>
          <w:b/>
          <w:sz w:val="20"/>
          <w:szCs w:val="20"/>
        </w:rPr>
        <w:t xml:space="preserve"> Guthrie, Deputy CIO of </w:t>
      </w:r>
      <w:proofErr w:type="spellStart"/>
      <w:r w:rsidR="004A59C6" w:rsidRPr="004A59C6">
        <w:rPr>
          <w:rFonts w:ascii="Arial" w:hAnsi="Arial" w:cs="Arial"/>
          <w:b/>
          <w:sz w:val="20"/>
          <w:szCs w:val="20"/>
        </w:rPr>
        <w:t>Cardano</w:t>
      </w:r>
      <w:proofErr w:type="spellEnd"/>
      <w:r w:rsidR="004A59C6" w:rsidRPr="004A59C6">
        <w:rPr>
          <w:rFonts w:ascii="Arial" w:hAnsi="Arial" w:cs="Arial"/>
          <w:b/>
          <w:sz w:val="20"/>
          <w:szCs w:val="20"/>
        </w:rPr>
        <w:t>, says:</w:t>
      </w:r>
      <w:r w:rsidR="004A59C6" w:rsidRPr="004A59C6">
        <w:rPr>
          <w:rFonts w:ascii="Arial" w:hAnsi="Arial" w:cs="Arial"/>
          <w:sz w:val="20"/>
          <w:szCs w:val="20"/>
        </w:rPr>
        <w:t xml:space="preserve"> </w:t>
      </w:r>
      <w:r w:rsidRPr="004A59C6">
        <w:rPr>
          <w:rFonts w:ascii="Arial" w:hAnsi="Arial" w:cs="Arial"/>
          <w:sz w:val="20"/>
          <w:szCs w:val="20"/>
        </w:rPr>
        <w:t>“Integrating climate change risk assessment into trustee decision making and covenant advice has become essential. This guide will help trustees be sure that their advisors are appropriately equipped and engaged to do so.”</w:t>
      </w:r>
    </w:p>
    <w:p w14:paraId="63D3FC79" w14:textId="188B83DE" w:rsidR="004824BB" w:rsidRPr="00DC37E5" w:rsidRDefault="004A59C6" w:rsidP="004824BB">
      <w:pPr>
        <w:spacing w:line="360" w:lineRule="auto"/>
        <w:rPr>
          <w:rFonts w:ascii="Arial" w:hAnsi="Arial" w:cs="Arial"/>
          <w:iCs/>
          <w:sz w:val="20"/>
          <w:szCs w:val="20"/>
        </w:rPr>
      </w:pPr>
      <w:r>
        <w:rPr>
          <w:rFonts w:ascii="Arial" w:hAnsi="Arial" w:cs="Arial"/>
          <w:b/>
          <w:iCs/>
          <w:sz w:val="20"/>
          <w:szCs w:val="20"/>
        </w:rPr>
        <w:br/>
      </w:r>
      <w:r w:rsidR="004824BB" w:rsidRPr="00DC37E5">
        <w:rPr>
          <w:rFonts w:ascii="Arial" w:hAnsi="Arial" w:cs="Arial"/>
          <w:b/>
          <w:iCs/>
          <w:sz w:val="20"/>
          <w:szCs w:val="20"/>
        </w:rPr>
        <w:t>Simon Jones, Head of Responsib</w:t>
      </w:r>
      <w:r w:rsidR="004824BB">
        <w:rPr>
          <w:rFonts w:ascii="Arial" w:hAnsi="Arial" w:cs="Arial"/>
          <w:b/>
          <w:iCs/>
          <w:sz w:val="20"/>
          <w:szCs w:val="20"/>
        </w:rPr>
        <w:t>le Investment at</w:t>
      </w:r>
      <w:r w:rsidR="004824BB" w:rsidRPr="00DC37E5">
        <w:rPr>
          <w:rFonts w:ascii="Arial" w:hAnsi="Arial" w:cs="Arial"/>
          <w:b/>
          <w:iCs/>
          <w:sz w:val="20"/>
          <w:szCs w:val="20"/>
        </w:rPr>
        <w:t xml:space="preserve"> Hymans Robertson, says:</w:t>
      </w:r>
      <w:r w:rsidR="004824BB" w:rsidRPr="00DC37E5">
        <w:rPr>
          <w:rFonts w:ascii="Arial" w:hAnsi="Arial" w:cs="Arial"/>
          <w:iCs/>
          <w:sz w:val="20"/>
          <w:szCs w:val="20"/>
        </w:rPr>
        <w:t xml:space="preserve"> “The whole of the financial services industry has a role to play in addressing climate change. As progress is made and action taken, so the expectation must be that trustees, asset managers and investment consultants all raise their game and </w:t>
      </w:r>
      <w:r w:rsidR="004824BB">
        <w:rPr>
          <w:rFonts w:ascii="Arial" w:hAnsi="Arial" w:cs="Arial"/>
          <w:iCs/>
          <w:sz w:val="20"/>
          <w:szCs w:val="20"/>
        </w:rPr>
        <w:t>do more. Society demands this. </w:t>
      </w:r>
      <w:r w:rsidR="004824BB" w:rsidRPr="00DC37E5">
        <w:rPr>
          <w:rFonts w:ascii="Arial" w:hAnsi="Arial" w:cs="Arial"/>
          <w:iCs/>
          <w:sz w:val="20"/>
          <w:szCs w:val="20"/>
        </w:rPr>
        <w:t>We’re happy to support the publication of this climate competency framework and, in line with our own climate pledge, will continue to ensure that we consider climate change in all that we do.”</w:t>
      </w:r>
    </w:p>
    <w:p w14:paraId="56899608" w14:textId="77777777" w:rsidR="004824BB" w:rsidRPr="00DC37E5" w:rsidRDefault="004824BB" w:rsidP="004824BB">
      <w:pPr>
        <w:spacing w:line="360" w:lineRule="auto"/>
        <w:rPr>
          <w:rFonts w:ascii="Arial" w:hAnsi="Arial" w:cs="Arial"/>
          <w:sz w:val="20"/>
          <w:szCs w:val="20"/>
        </w:rPr>
      </w:pPr>
      <w:r w:rsidRPr="00DC37E5">
        <w:rPr>
          <w:rFonts w:ascii="Arial" w:hAnsi="Arial" w:cs="Arial"/>
          <w:b/>
          <w:bCs/>
          <w:sz w:val="20"/>
          <w:szCs w:val="20"/>
        </w:rPr>
        <w:lastRenderedPageBreak/>
        <w:t>Claire Jones, Head of Responsible Investment at LCP says</w:t>
      </w:r>
      <w:r>
        <w:rPr>
          <w:rFonts w:ascii="Arial" w:hAnsi="Arial" w:cs="Arial"/>
          <w:b/>
          <w:bCs/>
          <w:sz w:val="20"/>
          <w:szCs w:val="20"/>
        </w:rPr>
        <w:t>:</w:t>
      </w:r>
      <w:r w:rsidRPr="00DC37E5">
        <w:rPr>
          <w:rFonts w:ascii="Arial" w:hAnsi="Arial" w:cs="Arial"/>
          <w:b/>
          <w:bCs/>
          <w:sz w:val="20"/>
          <w:szCs w:val="20"/>
        </w:rPr>
        <w:t xml:space="preserve"> </w:t>
      </w:r>
      <w:r w:rsidRPr="00DC37E5">
        <w:rPr>
          <w:rFonts w:ascii="Arial" w:hAnsi="Arial" w:cs="Arial"/>
          <w:sz w:val="20"/>
          <w:szCs w:val="20"/>
        </w:rPr>
        <w:t>“LCP believes climate change and the global transition to a low carbon economy present significant financial risks as well as opportunities for pension schemes. Trustees of pension schemes need assurance that their investment consultants are skilled and experienced in this important area which is why we were actively involved in developing this climate competency guide.”</w:t>
      </w:r>
    </w:p>
    <w:p w14:paraId="72EFDDF2" w14:textId="1870D448" w:rsidR="0003385F" w:rsidRPr="00DC37E5" w:rsidRDefault="0003385F" w:rsidP="00DC37E5">
      <w:pPr>
        <w:spacing w:line="360" w:lineRule="auto"/>
        <w:rPr>
          <w:rFonts w:ascii="Arial" w:hAnsi="Arial" w:cs="Arial"/>
          <w:sz w:val="20"/>
          <w:szCs w:val="20"/>
          <w:lang w:eastAsia="en-GB"/>
        </w:rPr>
      </w:pPr>
      <w:r w:rsidRPr="00DC37E5">
        <w:rPr>
          <w:rFonts w:ascii="Arial" w:hAnsi="Arial" w:cs="Arial"/>
          <w:b/>
          <w:bCs/>
          <w:sz w:val="20"/>
          <w:szCs w:val="20"/>
          <w:lang w:eastAsia="en-GB"/>
        </w:rPr>
        <w:t>Nick Samuels, Head of Manager Research at Redington</w:t>
      </w:r>
      <w:r w:rsidRPr="00DC37E5">
        <w:rPr>
          <w:rFonts w:ascii="Arial" w:hAnsi="Arial" w:cs="Arial"/>
          <w:sz w:val="20"/>
          <w:szCs w:val="20"/>
          <w:lang w:eastAsia="en-GB"/>
        </w:rPr>
        <w:t xml:space="preserve">, </w:t>
      </w:r>
      <w:r w:rsidRPr="004C2481">
        <w:rPr>
          <w:rFonts w:ascii="Arial" w:hAnsi="Arial" w:cs="Arial"/>
          <w:b/>
          <w:sz w:val="20"/>
          <w:szCs w:val="20"/>
          <w:lang w:eastAsia="en-GB"/>
        </w:rPr>
        <w:t>says:</w:t>
      </w:r>
      <w:r w:rsidRPr="00DC37E5">
        <w:rPr>
          <w:rFonts w:ascii="Arial" w:hAnsi="Arial" w:cs="Arial"/>
          <w:sz w:val="20"/>
          <w:szCs w:val="20"/>
          <w:lang w:eastAsia="en-GB"/>
        </w:rPr>
        <w:t xml:space="preserve"> "To tackle the challenges of climate change we all have to do more. Asset managers, asset owners and investment consultants. The competences are the first step by investment consultants to deliver a framework to all our clients to be held accountable against. Only by practicing </w:t>
      </w:r>
      <w:r w:rsidR="00DC37E5" w:rsidRPr="00DC37E5">
        <w:rPr>
          <w:rFonts w:ascii="Arial" w:hAnsi="Arial" w:cs="Arial"/>
          <w:sz w:val="20"/>
          <w:szCs w:val="20"/>
          <w:lang w:eastAsia="en-GB"/>
        </w:rPr>
        <w:t>all</w:t>
      </w:r>
      <w:r w:rsidRPr="00DC37E5">
        <w:rPr>
          <w:rFonts w:ascii="Arial" w:hAnsi="Arial" w:cs="Arial"/>
          <w:sz w:val="20"/>
          <w:szCs w:val="20"/>
          <w:lang w:eastAsia="en-GB"/>
        </w:rPr>
        <w:t xml:space="preserve"> these competences are we walking the walk, and truly acting in the best interests of our clients, and society." </w:t>
      </w:r>
    </w:p>
    <w:p w14:paraId="51F09913" w14:textId="409D6AAB" w:rsidR="0003385F" w:rsidRPr="00DC37E5" w:rsidRDefault="0003385F" w:rsidP="00DC37E5">
      <w:pPr>
        <w:spacing w:line="360" w:lineRule="auto"/>
        <w:rPr>
          <w:rFonts w:ascii="Arial" w:hAnsi="Arial" w:cs="Arial"/>
          <w:sz w:val="20"/>
          <w:szCs w:val="20"/>
        </w:rPr>
      </w:pPr>
      <w:r w:rsidRPr="00DC37E5">
        <w:rPr>
          <w:rFonts w:ascii="Arial" w:hAnsi="Arial" w:cs="Arial"/>
          <w:b/>
          <w:bCs/>
          <w:sz w:val="20"/>
          <w:szCs w:val="20"/>
          <w:lang w:eastAsia="en-GB"/>
        </w:rPr>
        <w:t xml:space="preserve">Sarita </w:t>
      </w:r>
      <w:proofErr w:type="spellStart"/>
      <w:r w:rsidRPr="00DC37E5">
        <w:rPr>
          <w:rFonts w:ascii="Arial" w:hAnsi="Arial" w:cs="Arial"/>
          <w:b/>
          <w:bCs/>
          <w:sz w:val="20"/>
          <w:szCs w:val="20"/>
          <w:lang w:eastAsia="en-GB"/>
        </w:rPr>
        <w:t>Gosrani</w:t>
      </w:r>
      <w:proofErr w:type="spellEnd"/>
      <w:r w:rsidRPr="00DC37E5">
        <w:rPr>
          <w:rFonts w:ascii="Arial" w:hAnsi="Arial" w:cs="Arial"/>
          <w:b/>
          <w:bCs/>
          <w:sz w:val="20"/>
          <w:szCs w:val="20"/>
          <w:lang w:eastAsia="en-GB"/>
        </w:rPr>
        <w:t xml:space="preserve">, </w:t>
      </w:r>
      <w:r w:rsidRPr="00DC37E5">
        <w:rPr>
          <w:rFonts w:ascii="Arial" w:hAnsi="Arial" w:cs="Arial"/>
          <w:b/>
          <w:sz w:val="20"/>
          <w:szCs w:val="20"/>
          <w:lang w:eastAsia="en-GB"/>
        </w:rPr>
        <w:t>Head of ESG Research, XPS says</w:t>
      </w:r>
      <w:r w:rsidRPr="00DC37E5">
        <w:rPr>
          <w:rFonts w:ascii="Arial" w:hAnsi="Arial" w:cs="Arial"/>
          <w:sz w:val="20"/>
          <w:szCs w:val="20"/>
          <w:lang w:eastAsia="en-GB"/>
        </w:rPr>
        <w:t xml:space="preserve">: </w:t>
      </w:r>
      <w:r w:rsidR="00DC37E5" w:rsidRPr="00DC37E5">
        <w:rPr>
          <w:rFonts w:ascii="Arial" w:hAnsi="Arial" w:cs="Arial"/>
          <w:sz w:val="20"/>
          <w:szCs w:val="20"/>
          <w:lang w:eastAsia="en-GB"/>
        </w:rPr>
        <w:t>“</w:t>
      </w:r>
      <w:r w:rsidRPr="00DC37E5">
        <w:rPr>
          <w:rFonts w:ascii="Arial" w:hAnsi="Arial" w:cs="Arial"/>
          <w:sz w:val="20"/>
          <w:szCs w:val="20"/>
        </w:rPr>
        <w:t>The ICSWG framework of climate competency is timely and a great first output of the working group, as trustees will look to their investment consultants to help them navigate through upcoming regulations and the complexities of the mitigating climate risks within the pension scheme</w:t>
      </w:r>
      <w:r w:rsidR="00DC37E5" w:rsidRPr="00DC37E5">
        <w:rPr>
          <w:rFonts w:ascii="Arial" w:hAnsi="Arial" w:cs="Arial"/>
          <w:sz w:val="20"/>
          <w:szCs w:val="20"/>
        </w:rPr>
        <w:t>.”</w:t>
      </w:r>
    </w:p>
    <w:p w14:paraId="08F31C4B" w14:textId="71910F62" w:rsidR="0003385F" w:rsidRPr="00DC37E5" w:rsidRDefault="0003385F" w:rsidP="00B40547">
      <w:pPr>
        <w:spacing w:after="0" w:line="240" w:lineRule="auto"/>
        <w:rPr>
          <w:rFonts w:ascii="Arial" w:hAnsi="Arial" w:cs="Arial"/>
          <w:b/>
          <w:sz w:val="20"/>
          <w:szCs w:val="20"/>
        </w:rPr>
      </w:pPr>
    </w:p>
    <w:p w14:paraId="03F08053" w14:textId="49310010" w:rsidR="0003385F" w:rsidRDefault="004A59C6" w:rsidP="00B40547">
      <w:pPr>
        <w:spacing w:after="0" w:line="240" w:lineRule="auto"/>
        <w:rPr>
          <w:rFonts w:ascii="Arial" w:hAnsi="Arial" w:cs="Arial"/>
          <w:b/>
          <w:sz w:val="20"/>
          <w:szCs w:val="20"/>
        </w:rPr>
      </w:pPr>
      <w:r>
        <w:rPr>
          <w:rFonts w:ascii="Arial" w:hAnsi="Arial" w:cs="Arial"/>
          <w:b/>
          <w:sz w:val="20"/>
          <w:szCs w:val="20"/>
        </w:rPr>
        <w:t xml:space="preserve">Notes: </w:t>
      </w:r>
    </w:p>
    <w:p w14:paraId="053F05E7" w14:textId="0580A990" w:rsidR="008C57F4" w:rsidRDefault="008C57F4" w:rsidP="008C57F4">
      <w:pPr>
        <w:spacing w:after="0" w:line="240" w:lineRule="auto"/>
        <w:rPr>
          <w:rFonts w:ascii="Arial" w:hAnsi="Arial" w:cs="Arial"/>
          <w:b/>
          <w:sz w:val="20"/>
          <w:szCs w:val="20"/>
        </w:rPr>
      </w:pPr>
    </w:p>
    <w:p w14:paraId="33F5A453" w14:textId="77777777" w:rsidR="00B40547" w:rsidRDefault="00B40547" w:rsidP="008C57F4">
      <w:pPr>
        <w:spacing w:after="0" w:line="240" w:lineRule="auto"/>
        <w:rPr>
          <w:rFonts w:ascii="Arial" w:hAnsi="Arial" w:cs="Arial"/>
          <w:b/>
          <w:sz w:val="20"/>
          <w:szCs w:val="20"/>
        </w:rPr>
      </w:pPr>
    </w:p>
    <w:p w14:paraId="5DD22504" w14:textId="77777777" w:rsidR="008C57F4" w:rsidRPr="008C57F4" w:rsidRDefault="008C57F4" w:rsidP="008C57F4">
      <w:pPr>
        <w:spacing w:after="0" w:line="240" w:lineRule="auto"/>
        <w:rPr>
          <w:rFonts w:ascii="Arial" w:hAnsi="Arial" w:cs="Arial"/>
          <w:b/>
          <w:sz w:val="20"/>
          <w:szCs w:val="20"/>
        </w:rPr>
      </w:pPr>
      <w:r w:rsidRPr="008C57F4">
        <w:rPr>
          <w:rFonts w:ascii="Arial" w:hAnsi="Arial" w:cs="Arial"/>
          <w:b/>
          <w:sz w:val="20"/>
          <w:szCs w:val="20"/>
        </w:rPr>
        <w:t>About</w:t>
      </w:r>
      <w:r>
        <w:rPr>
          <w:rFonts w:ascii="Arial" w:hAnsi="Arial" w:cs="Arial"/>
          <w:b/>
          <w:sz w:val="20"/>
          <w:szCs w:val="20"/>
        </w:rPr>
        <w:t xml:space="preserve"> the </w:t>
      </w:r>
      <w:r w:rsidRPr="008C57F4">
        <w:rPr>
          <w:rFonts w:ascii="Arial" w:hAnsi="Arial" w:cs="Arial"/>
          <w:b/>
          <w:iCs/>
          <w:sz w:val="20"/>
          <w:szCs w:val="20"/>
        </w:rPr>
        <w:t>Investment Consultants Sustainability Working Group</w:t>
      </w:r>
    </w:p>
    <w:p w14:paraId="61E2E9D6" w14:textId="781A9F51" w:rsidR="008C57F4" w:rsidRDefault="004A59C6" w:rsidP="008C57F4">
      <w:pPr>
        <w:spacing w:line="360" w:lineRule="auto"/>
        <w:rPr>
          <w:rFonts w:ascii="Arial" w:hAnsi="Arial" w:cs="Arial"/>
          <w:sz w:val="20"/>
          <w:szCs w:val="20"/>
        </w:rPr>
      </w:pPr>
      <w:r>
        <w:rPr>
          <w:rFonts w:ascii="Arial" w:hAnsi="Arial" w:cs="Arial"/>
          <w:sz w:val="20"/>
          <w:szCs w:val="20"/>
        </w:rPr>
        <w:br/>
      </w:r>
      <w:r w:rsidR="008C57F4">
        <w:rPr>
          <w:rFonts w:ascii="Arial" w:hAnsi="Arial" w:cs="Arial"/>
          <w:sz w:val="20"/>
          <w:szCs w:val="20"/>
        </w:rPr>
        <w:t>ICSWG is a body of 1</w:t>
      </w:r>
      <w:r w:rsidR="00D0471B">
        <w:rPr>
          <w:rFonts w:ascii="Arial" w:hAnsi="Arial" w:cs="Arial"/>
          <w:sz w:val="20"/>
          <w:szCs w:val="20"/>
        </w:rPr>
        <w:t xml:space="preserve">7 </w:t>
      </w:r>
      <w:r w:rsidR="008C57F4">
        <w:rPr>
          <w:rFonts w:ascii="Arial" w:hAnsi="Arial" w:cs="Arial"/>
          <w:sz w:val="20"/>
          <w:szCs w:val="20"/>
        </w:rPr>
        <w:t xml:space="preserve">investment consultant firms, all providing investment consulting services to UK asset owners. Its aim is to improve </w:t>
      </w:r>
      <w:r w:rsidR="008C57F4" w:rsidRPr="008C57F4">
        <w:rPr>
          <w:rFonts w:ascii="Arial" w:hAnsi="Arial" w:cs="Arial"/>
          <w:sz w:val="20"/>
          <w:szCs w:val="20"/>
        </w:rPr>
        <w:t xml:space="preserve">sustainable investment practices across the </w:t>
      </w:r>
      <w:r w:rsidR="008C57F4">
        <w:rPr>
          <w:rFonts w:ascii="Arial" w:hAnsi="Arial" w:cs="Arial"/>
          <w:sz w:val="20"/>
          <w:szCs w:val="20"/>
        </w:rPr>
        <w:t xml:space="preserve">UK investment industry and seeks to do this by delivering to six commitments:  </w:t>
      </w:r>
    </w:p>
    <w:p w14:paraId="59319959" w14:textId="77777777" w:rsidR="008C57F4" w:rsidRPr="008C57F4" w:rsidRDefault="008C57F4" w:rsidP="008C57F4">
      <w:pPr>
        <w:numPr>
          <w:ilvl w:val="0"/>
          <w:numId w:val="2"/>
        </w:numPr>
        <w:spacing w:after="0" w:line="360" w:lineRule="auto"/>
        <w:rPr>
          <w:rFonts w:ascii="Arial" w:eastAsia="Times New Roman" w:hAnsi="Arial" w:cs="Arial"/>
          <w:sz w:val="20"/>
          <w:szCs w:val="20"/>
          <w:lang w:eastAsia="en-GB"/>
        </w:rPr>
      </w:pPr>
      <w:r w:rsidRPr="008C57F4">
        <w:rPr>
          <w:rFonts w:ascii="Arial" w:eastAsia="Times New Roman" w:hAnsi="Arial" w:cs="Arial"/>
          <w:sz w:val="20"/>
          <w:szCs w:val="20"/>
          <w:lang w:eastAsia="en-GB"/>
        </w:rPr>
        <w:t>Engage across a broad range of stakeholders, including asset owners, asset managers and regulators</w:t>
      </w:r>
    </w:p>
    <w:p w14:paraId="5ED4C6AB" w14:textId="77777777" w:rsidR="008C57F4" w:rsidRPr="008C57F4" w:rsidRDefault="008C57F4" w:rsidP="008C57F4">
      <w:pPr>
        <w:numPr>
          <w:ilvl w:val="0"/>
          <w:numId w:val="2"/>
        </w:numPr>
        <w:spacing w:after="0" w:line="360" w:lineRule="auto"/>
        <w:rPr>
          <w:rFonts w:ascii="Arial" w:eastAsia="Times New Roman" w:hAnsi="Arial" w:cs="Arial"/>
          <w:sz w:val="20"/>
          <w:szCs w:val="20"/>
          <w:lang w:eastAsia="en-GB"/>
        </w:rPr>
      </w:pPr>
      <w:r w:rsidRPr="008C57F4">
        <w:rPr>
          <w:rFonts w:ascii="Arial" w:eastAsia="Times New Roman" w:hAnsi="Arial" w:cs="Arial"/>
          <w:sz w:val="20"/>
          <w:szCs w:val="20"/>
          <w:lang w:eastAsia="en-GB"/>
        </w:rPr>
        <w:t>Seek investment outcomes which are genuinely sustainable and not treat sustainability as a tick box exercise</w:t>
      </w:r>
    </w:p>
    <w:p w14:paraId="23D67812" w14:textId="77777777" w:rsidR="008C57F4" w:rsidRPr="008C57F4" w:rsidRDefault="008C57F4" w:rsidP="008C57F4">
      <w:pPr>
        <w:numPr>
          <w:ilvl w:val="0"/>
          <w:numId w:val="2"/>
        </w:numPr>
        <w:spacing w:after="0" w:line="360" w:lineRule="auto"/>
        <w:rPr>
          <w:rFonts w:ascii="Arial" w:eastAsia="Times New Roman" w:hAnsi="Arial" w:cs="Arial"/>
          <w:sz w:val="20"/>
          <w:szCs w:val="20"/>
          <w:lang w:eastAsia="en-GB"/>
        </w:rPr>
      </w:pPr>
      <w:r w:rsidRPr="008C57F4">
        <w:rPr>
          <w:rFonts w:ascii="Arial" w:eastAsia="Times New Roman" w:hAnsi="Arial" w:cs="Arial"/>
          <w:sz w:val="20"/>
          <w:szCs w:val="20"/>
          <w:lang w:eastAsia="en-GB"/>
        </w:rPr>
        <w:t>Align with, and support, existing industry bodies and initiatives</w:t>
      </w:r>
    </w:p>
    <w:p w14:paraId="75C91E3B" w14:textId="77777777" w:rsidR="008C57F4" w:rsidRPr="008C57F4" w:rsidRDefault="008C57F4" w:rsidP="008C57F4">
      <w:pPr>
        <w:numPr>
          <w:ilvl w:val="0"/>
          <w:numId w:val="2"/>
        </w:numPr>
        <w:spacing w:after="0" w:line="360" w:lineRule="auto"/>
        <w:rPr>
          <w:rFonts w:ascii="Arial" w:eastAsia="Times New Roman" w:hAnsi="Arial" w:cs="Arial"/>
          <w:sz w:val="20"/>
          <w:szCs w:val="20"/>
          <w:lang w:eastAsia="en-GB"/>
        </w:rPr>
      </w:pPr>
      <w:r w:rsidRPr="008C57F4">
        <w:rPr>
          <w:rFonts w:ascii="Arial" w:eastAsia="Times New Roman" w:hAnsi="Arial" w:cs="Arial"/>
          <w:sz w:val="20"/>
          <w:szCs w:val="20"/>
          <w:lang w:eastAsia="en-GB"/>
        </w:rPr>
        <w:t xml:space="preserve">Support their respective clients who are too small to meaningfully engage with industry initiatives </w:t>
      </w:r>
    </w:p>
    <w:p w14:paraId="3F99B984" w14:textId="77777777" w:rsidR="008C57F4" w:rsidRPr="008C57F4" w:rsidRDefault="008C57F4" w:rsidP="008C57F4">
      <w:pPr>
        <w:numPr>
          <w:ilvl w:val="0"/>
          <w:numId w:val="2"/>
        </w:numPr>
        <w:spacing w:after="0" w:line="360" w:lineRule="auto"/>
        <w:rPr>
          <w:rFonts w:ascii="Arial" w:eastAsia="Times New Roman" w:hAnsi="Arial" w:cs="Arial"/>
          <w:sz w:val="20"/>
          <w:szCs w:val="20"/>
          <w:lang w:eastAsia="en-GB"/>
        </w:rPr>
      </w:pPr>
      <w:r w:rsidRPr="008C57F4">
        <w:rPr>
          <w:rFonts w:ascii="Arial" w:eastAsia="Times New Roman" w:hAnsi="Arial" w:cs="Arial"/>
          <w:sz w:val="20"/>
          <w:szCs w:val="20"/>
          <w:lang w:eastAsia="en-GB"/>
        </w:rPr>
        <w:t xml:space="preserve">Create a guiding set of principles that indicate good practice with practical advice </w:t>
      </w:r>
    </w:p>
    <w:p w14:paraId="076ECF01" w14:textId="77777777" w:rsidR="008C57F4" w:rsidRDefault="008C57F4" w:rsidP="008C57F4">
      <w:pPr>
        <w:numPr>
          <w:ilvl w:val="0"/>
          <w:numId w:val="2"/>
        </w:numPr>
        <w:spacing w:after="0" w:line="360" w:lineRule="auto"/>
        <w:rPr>
          <w:rFonts w:ascii="Arial" w:eastAsia="Times New Roman" w:hAnsi="Arial" w:cs="Arial"/>
          <w:sz w:val="20"/>
          <w:szCs w:val="20"/>
          <w:lang w:eastAsia="en-GB"/>
        </w:rPr>
      </w:pPr>
      <w:r w:rsidRPr="008C57F4">
        <w:rPr>
          <w:rFonts w:ascii="Arial" w:eastAsia="Times New Roman" w:hAnsi="Arial" w:cs="Arial"/>
          <w:sz w:val="20"/>
          <w:szCs w:val="20"/>
          <w:lang w:eastAsia="en-GB"/>
        </w:rPr>
        <w:t xml:space="preserve">Be a body where regulators and other stakeholders can seek input when they need a view from investment consultants. </w:t>
      </w:r>
    </w:p>
    <w:p w14:paraId="410808DE" w14:textId="77777777" w:rsidR="008C57F4" w:rsidRDefault="008C57F4" w:rsidP="008C57F4">
      <w:pPr>
        <w:spacing w:after="0" w:line="360" w:lineRule="auto"/>
        <w:rPr>
          <w:rFonts w:ascii="Arial" w:eastAsia="Times New Roman" w:hAnsi="Arial" w:cs="Arial"/>
          <w:sz w:val="20"/>
          <w:szCs w:val="20"/>
          <w:lang w:eastAsia="en-GB"/>
        </w:rPr>
      </w:pPr>
    </w:p>
    <w:p w14:paraId="6C490CA1" w14:textId="772BD69D" w:rsidR="008C57F4" w:rsidRPr="004C2481" w:rsidRDefault="008C57F4" w:rsidP="008C57F4">
      <w:pPr>
        <w:spacing w:after="0" w:line="360" w:lineRule="auto"/>
        <w:rPr>
          <w:rFonts w:ascii="Arial" w:eastAsia="Times New Roman" w:hAnsi="Arial" w:cs="Arial"/>
          <w:b/>
          <w:sz w:val="20"/>
          <w:szCs w:val="20"/>
          <w:lang w:eastAsia="en-GB"/>
        </w:rPr>
      </w:pPr>
      <w:r w:rsidRPr="004C2481">
        <w:rPr>
          <w:rFonts w:ascii="Arial" w:eastAsia="Times New Roman" w:hAnsi="Arial" w:cs="Arial"/>
          <w:b/>
          <w:sz w:val="20"/>
          <w:szCs w:val="20"/>
          <w:lang w:eastAsia="en-GB"/>
        </w:rPr>
        <w:t xml:space="preserve">Member firms of the Investment Sustainability Working Group are: </w:t>
      </w:r>
    </w:p>
    <w:p w14:paraId="67D545AF" w14:textId="4960E53D" w:rsidR="0003385F" w:rsidRDefault="0003385F" w:rsidP="008C57F4">
      <w:p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Aon, Barnett Waddingham, </w:t>
      </w:r>
      <w:proofErr w:type="spellStart"/>
      <w:r>
        <w:rPr>
          <w:rFonts w:ascii="Arial" w:eastAsia="Times New Roman" w:hAnsi="Arial" w:cs="Arial"/>
          <w:sz w:val="20"/>
          <w:szCs w:val="20"/>
          <w:lang w:eastAsia="en-GB"/>
        </w:rPr>
        <w:t>bfinance</w:t>
      </w:r>
      <w:proofErr w:type="spellEnd"/>
      <w:r>
        <w:rPr>
          <w:rFonts w:ascii="Arial" w:eastAsia="Times New Roman" w:hAnsi="Arial" w:cs="Arial"/>
          <w:sz w:val="20"/>
          <w:szCs w:val="20"/>
          <w:lang w:eastAsia="en-GB"/>
        </w:rPr>
        <w:t xml:space="preserve">, Buck, Cambridge Associates, </w:t>
      </w:r>
      <w:proofErr w:type="spellStart"/>
      <w:r>
        <w:rPr>
          <w:rFonts w:ascii="Arial" w:eastAsia="Times New Roman" w:hAnsi="Arial" w:cs="Arial"/>
          <w:sz w:val="20"/>
          <w:szCs w:val="20"/>
          <w:lang w:eastAsia="en-GB"/>
        </w:rPr>
        <w:t>Cardano</w:t>
      </w:r>
      <w:proofErr w:type="spellEnd"/>
      <w:r>
        <w:rPr>
          <w:rFonts w:ascii="Arial" w:eastAsia="Times New Roman" w:hAnsi="Arial" w:cs="Arial"/>
          <w:sz w:val="20"/>
          <w:szCs w:val="20"/>
          <w:lang w:eastAsia="en-GB"/>
        </w:rPr>
        <w:t>, Hymans Robertson</w:t>
      </w:r>
      <w:r w:rsidR="00D0471B">
        <w:rPr>
          <w:rFonts w:ascii="Arial" w:eastAsia="Times New Roman" w:hAnsi="Arial" w:cs="Arial"/>
          <w:sz w:val="20"/>
          <w:szCs w:val="20"/>
          <w:lang w:eastAsia="en-GB"/>
        </w:rPr>
        <w:t xml:space="preserve">, ISIO, LCP, Mercer, MJ Hudson </w:t>
      </w:r>
      <w:proofErr w:type="spellStart"/>
      <w:r>
        <w:rPr>
          <w:rFonts w:ascii="Arial" w:eastAsia="Times New Roman" w:hAnsi="Arial" w:cs="Arial"/>
          <w:sz w:val="20"/>
          <w:szCs w:val="20"/>
          <w:lang w:eastAsia="en-GB"/>
        </w:rPr>
        <w:t>Allenbridge</w:t>
      </w:r>
      <w:proofErr w:type="spellEnd"/>
      <w:r>
        <w:rPr>
          <w:rFonts w:ascii="Arial" w:eastAsia="Times New Roman" w:hAnsi="Arial" w:cs="Arial"/>
          <w:sz w:val="20"/>
          <w:szCs w:val="20"/>
          <w:lang w:eastAsia="en-GB"/>
        </w:rPr>
        <w:t>, Momentum, Redington, River and Mercantile, SEI, Willi</w:t>
      </w:r>
      <w:r w:rsidR="004C2481">
        <w:rPr>
          <w:rFonts w:ascii="Arial" w:eastAsia="Times New Roman" w:hAnsi="Arial" w:cs="Arial"/>
          <w:sz w:val="20"/>
          <w:szCs w:val="20"/>
          <w:lang w:eastAsia="en-GB"/>
        </w:rPr>
        <w:t xml:space="preserve">s Towers Watson, XPS Investment. </w:t>
      </w:r>
    </w:p>
    <w:p w14:paraId="3F924DFC" w14:textId="77777777" w:rsidR="0003385F" w:rsidRPr="008C57F4" w:rsidRDefault="0003385F" w:rsidP="008C57F4">
      <w:pPr>
        <w:spacing w:after="0" w:line="360" w:lineRule="auto"/>
        <w:rPr>
          <w:rFonts w:ascii="Arial" w:eastAsia="Times New Roman" w:hAnsi="Arial" w:cs="Arial"/>
          <w:sz w:val="20"/>
          <w:szCs w:val="20"/>
          <w:lang w:eastAsia="en-GB"/>
        </w:rPr>
      </w:pPr>
    </w:p>
    <w:p w14:paraId="5C38D1C6" w14:textId="531E328D" w:rsidR="008C57F4" w:rsidRPr="008C57F4" w:rsidRDefault="004A59C6" w:rsidP="008C57F4">
      <w:pPr>
        <w:spacing w:after="0" w:line="360" w:lineRule="auto"/>
        <w:rPr>
          <w:rFonts w:ascii="Arial" w:hAnsi="Arial" w:cs="Arial"/>
          <w:b/>
          <w:sz w:val="20"/>
          <w:szCs w:val="20"/>
        </w:rPr>
      </w:pPr>
      <w:r>
        <w:rPr>
          <w:rFonts w:ascii="Arial" w:hAnsi="Arial" w:cs="Arial"/>
          <w:b/>
          <w:sz w:val="20"/>
          <w:szCs w:val="20"/>
        </w:rPr>
        <w:lastRenderedPageBreak/>
        <w:t xml:space="preserve">Media Contact: </w:t>
      </w:r>
      <w:r w:rsidR="008C57F4" w:rsidRPr="008C57F4">
        <w:rPr>
          <w:rFonts w:ascii="Arial" w:hAnsi="Arial" w:cs="Arial"/>
          <w:b/>
          <w:sz w:val="20"/>
          <w:szCs w:val="20"/>
        </w:rPr>
        <w:t xml:space="preserve"> </w:t>
      </w:r>
      <w:r w:rsidR="008C57F4">
        <w:rPr>
          <w:rFonts w:ascii="Arial" w:hAnsi="Arial" w:cs="Arial"/>
          <w:b/>
          <w:sz w:val="20"/>
          <w:szCs w:val="20"/>
        </w:rPr>
        <w:br/>
      </w:r>
      <w:r w:rsidRPr="004A59C6">
        <w:rPr>
          <w:rFonts w:ascii="Arial" w:hAnsi="Arial" w:cs="Arial"/>
          <w:sz w:val="20"/>
          <w:szCs w:val="20"/>
        </w:rPr>
        <w:t xml:space="preserve">Lauren Keith, LCP </w:t>
      </w:r>
      <w:r w:rsidRPr="004A59C6">
        <w:rPr>
          <w:rFonts w:ascii="Arial" w:hAnsi="Arial" w:cs="Arial"/>
          <w:sz w:val="20"/>
          <w:szCs w:val="20"/>
        </w:rPr>
        <w:br/>
      </w:r>
      <w:r w:rsidR="0020400B" w:rsidRPr="0020400B">
        <w:rPr>
          <w:rFonts w:ascii="Arial" w:hAnsi="Arial" w:cs="Arial"/>
          <w:sz w:val="20"/>
          <w:szCs w:val="20"/>
        </w:rPr>
        <w:t>02039221319</w:t>
      </w:r>
      <w:r w:rsidRPr="004A59C6">
        <w:rPr>
          <w:rFonts w:ascii="Arial" w:hAnsi="Arial" w:cs="Arial"/>
          <w:sz w:val="20"/>
          <w:szCs w:val="20"/>
        </w:rPr>
        <w:br/>
      </w:r>
      <w:hyperlink r:id="rId7" w:history="1">
        <w:r w:rsidRPr="004A59C6">
          <w:rPr>
            <w:rStyle w:val="Hyperlink"/>
            <w:rFonts w:ascii="Arial" w:hAnsi="Arial" w:cs="Arial"/>
            <w:sz w:val="20"/>
            <w:szCs w:val="20"/>
            <w:lang w:val="en-US" w:eastAsia="en-GB"/>
          </w:rPr>
          <w:t>Lauren.Keith@lcp.uk.com</w:t>
        </w:r>
      </w:hyperlink>
    </w:p>
    <w:sectPr w:rsidR="008C57F4" w:rsidRPr="008C57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05B3" w14:textId="77777777" w:rsidR="00D943FD" w:rsidRDefault="00D943FD" w:rsidP="00FA2240">
      <w:pPr>
        <w:spacing w:after="0" w:line="240" w:lineRule="auto"/>
      </w:pPr>
      <w:r>
        <w:separator/>
      </w:r>
    </w:p>
  </w:endnote>
  <w:endnote w:type="continuationSeparator" w:id="0">
    <w:p w14:paraId="089A6C88" w14:textId="77777777" w:rsidR="00D943FD" w:rsidRDefault="00D943FD" w:rsidP="00FA2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4411" w14:textId="77777777" w:rsidR="00BE1FFF" w:rsidRDefault="00BE1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DAF1" w14:textId="77777777" w:rsidR="00BE1FFF" w:rsidRDefault="00BE1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7751" w14:textId="77777777" w:rsidR="00BE1FFF" w:rsidRDefault="00BE1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5BAB" w14:textId="77777777" w:rsidR="00D943FD" w:rsidRDefault="00D943FD" w:rsidP="00FA2240">
      <w:pPr>
        <w:spacing w:after="0" w:line="240" w:lineRule="auto"/>
      </w:pPr>
      <w:r>
        <w:separator/>
      </w:r>
    </w:p>
  </w:footnote>
  <w:footnote w:type="continuationSeparator" w:id="0">
    <w:p w14:paraId="15D46197" w14:textId="77777777" w:rsidR="00D943FD" w:rsidRDefault="00D943FD" w:rsidP="00FA2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4F08" w14:textId="7A5BF88E" w:rsidR="00BE1FFF" w:rsidRDefault="00BE1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45FB" w14:textId="355B590C" w:rsidR="00BE1FFF" w:rsidRDefault="00BE1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1CD5" w14:textId="48121FD5" w:rsidR="00BE1FFF" w:rsidRDefault="00BE1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0660"/>
    <w:multiLevelType w:val="hybridMultilevel"/>
    <w:tmpl w:val="65025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C434C"/>
    <w:multiLevelType w:val="hybridMultilevel"/>
    <w:tmpl w:val="E8326EB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F4"/>
    <w:rsid w:val="0000334E"/>
    <w:rsid w:val="000270E1"/>
    <w:rsid w:val="0003385F"/>
    <w:rsid w:val="00087405"/>
    <w:rsid w:val="000C4627"/>
    <w:rsid w:val="000D72B4"/>
    <w:rsid w:val="000F0F26"/>
    <w:rsid w:val="00164576"/>
    <w:rsid w:val="001953B1"/>
    <w:rsid w:val="001E2246"/>
    <w:rsid w:val="001F175C"/>
    <w:rsid w:val="0020400B"/>
    <w:rsid w:val="00223B1A"/>
    <w:rsid w:val="002248C2"/>
    <w:rsid w:val="0023651D"/>
    <w:rsid w:val="002579A9"/>
    <w:rsid w:val="00286147"/>
    <w:rsid w:val="002D0425"/>
    <w:rsid w:val="002E6B79"/>
    <w:rsid w:val="002F2BCC"/>
    <w:rsid w:val="00314C23"/>
    <w:rsid w:val="0036323C"/>
    <w:rsid w:val="00397EDD"/>
    <w:rsid w:val="003C2580"/>
    <w:rsid w:val="0042298E"/>
    <w:rsid w:val="00450287"/>
    <w:rsid w:val="00467FD7"/>
    <w:rsid w:val="004824BB"/>
    <w:rsid w:val="004A59C6"/>
    <w:rsid w:val="004C2481"/>
    <w:rsid w:val="0053274A"/>
    <w:rsid w:val="005330AD"/>
    <w:rsid w:val="00536367"/>
    <w:rsid w:val="00563BEC"/>
    <w:rsid w:val="005A1473"/>
    <w:rsid w:val="005B698D"/>
    <w:rsid w:val="005C5F3C"/>
    <w:rsid w:val="005E0D7B"/>
    <w:rsid w:val="005F11AC"/>
    <w:rsid w:val="0060003A"/>
    <w:rsid w:val="00603613"/>
    <w:rsid w:val="00620DC7"/>
    <w:rsid w:val="00673B6B"/>
    <w:rsid w:val="00682338"/>
    <w:rsid w:val="006C1123"/>
    <w:rsid w:val="006F0033"/>
    <w:rsid w:val="00707FC6"/>
    <w:rsid w:val="00746645"/>
    <w:rsid w:val="00767EC9"/>
    <w:rsid w:val="007979A9"/>
    <w:rsid w:val="007A27AC"/>
    <w:rsid w:val="007A43C6"/>
    <w:rsid w:val="007B26AD"/>
    <w:rsid w:val="007C449B"/>
    <w:rsid w:val="008011A6"/>
    <w:rsid w:val="00881DB9"/>
    <w:rsid w:val="008A1F17"/>
    <w:rsid w:val="008A7546"/>
    <w:rsid w:val="008B72AF"/>
    <w:rsid w:val="008C57F4"/>
    <w:rsid w:val="008E2F5A"/>
    <w:rsid w:val="009413FF"/>
    <w:rsid w:val="00943909"/>
    <w:rsid w:val="009B7317"/>
    <w:rsid w:val="00A05717"/>
    <w:rsid w:val="00A37DF0"/>
    <w:rsid w:val="00A65754"/>
    <w:rsid w:val="00AE72D4"/>
    <w:rsid w:val="00AF7DCA"/>
    <w:rsid w:val="00B16BA9"/>
    <w:rsid w:val="00B35A2C"/>
    <w:rsid w:val="00B40547"/>
    <w:rsid w:val="00B464F9"/>
    <w:rsid w:val="00B57F34"/>
    <w:rsid w:val="00B726D2"/>
    <w:rsid w:val="00B83DBB"/>
    <w:rsid w:val="00BA1825"/>
    <w:rsid w:val="00BE1FFF"/>
    <w:rsid w:val="00C24AE4"/>
    <w:rsid w:val="00C502FA"/>
    <w:rsid w:val="00C519B0"/>
    <w:rsid w:val="00C66A16"/>
    <w:rsid w:val="00CA5267"/>
    <w:rsid w:val="00CA62CB"/>
    <w:rsid w:val="00CD2477"/>
    <w:rsid w:val="00CD7070"/>
    <w:rsid w:val="00CF0446"/>
    <w:rsid w:val="00D0471B"/>
    <w:rsid w:val="00D343AD"/>
    <w:rsid w:val="00D67F3D"/>
    <w:rsid w:val="00D943FD"/>
    <w:rsid w:val="00DC2570"/>
    <w:rsid w:val="00DC37E5"/>
    <w:rsid w:val="00DF6BC1"/>
    <w:rsid w:val="00E0305D"/>
    <w:rsid w:val="00E277C2"/>
    <w:rsid w:val="00E33100"/>
    <w:rsid w:val="00E60AC5"/>
    <w:rsid w:val="00EA4F1D"/>
    <w:rsid w:val="00F118D2"/>
    <w:rsid w:val="00F41F59"/>
    <w:rsid w:val="00F47570"/>
    <w:rsid w:val="00F624C2"/>
    <w:rsid w:val="00F77CFA"/>
    <w:rsid w:val="00FA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05A4F1B"/>
  <w15:chartTrackingRefBased/>
  <w15:docId w15:val="{1A3C42ED-F442-42A7-8B2B-B4F4C63B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C57F4"/>
    <w:pPr>
      <w:spacing w:after="0" w:line="240" w:lineRule="auto"/>
    </w:pPr>
    <w:rPr>
      <w:rFonts w:ascii="Arial" w:eastAsia="Calibri" w:hAnsi="Arial" w:cs="Arial"/>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3C6"/>
    <w:rPr>
      <w:rFonts w:ascii="Segoe UI" w:hAnsi="Segoe UI" w:cs="Segoe UI"/>
      <w:sz w:val="18"/>
      <w:szCs w:val="18"/>
    </w:rPr>
  </w:style>
  <w:style w:type="character" w:styleId="CommentReference">
    <w:name w:val="annotation reference"/>
    <w:basedOn w:val="DefaultParagraphFont"/>
    <w:uiPriority w:val="99"/>
    <w:semiHidden/>
    <w:unhideWhenUsed/>
    <w:rsid w:val="00EA4F1D"/>
    <w:rPr>
      <w:sz w:val="16"/>
      <w:szCs w:val="16"/>
    </w:rPr>
  </w:style>
  <w:style w:type="paragraph" w:styleId="CommentText">
    <w:name w:val="annotation text"/>
    <w:basedOn w:val="Normal"/>
    <w:link w:val="CommentTextChar"/>
    <w:uiPriority w:val="99"/>
    <w:semiHidden/>
    <w:unhideWhenUsed/>
    <w:rsid w:val="00EA4F1D"/>
    <w:pPr>
      <w:spacing w:line="240" w:lineRule="auto"/>
    </w:pPr>
    <w:rPr>
      <w:sz w:val="20"/>
      <w:szCs w:val="20"/>
    </w:rPr>
  </w:style>
  <w:style w:type="character" w:customStyle="1" w:styleId="CommentTextChar">
    <w:name w:val="Comment Text Char"/>
    <w:basedOn w:val="DefaultParagraphFont"/>
    <w:link w:val="CommentText"/>
    <w:uiPriority w:val="99"/>
    <w:semiHidden/>
    <w:rsid w:val="00EA4F1D"/>
    <w:rPr>
      <w:sz w:val="20"/>
      <w:szCs w:val="20"/>
    </w:rPr>
  </w:style>
  <w:style w:type="paragraph" w:styleId="CommentSubject">
    <w:name w:val="annotation subject"/>
    <w:basedOn w:val="CommentText"/>
    <w:next w:val="CommentText"/>
    <w:link w:val="CommentSubjectChar"/>
    <w:uiPriority w:val="99"/>
    <w:semiHidden/>
    <w:unhideWhenUsed/>
    <w:rsid w:val="00EA4F1D"/>
    <w:rPr>
      <w:b/>
      <w:bCs/>
    </w:rPr>
  </w:style>
  <w:style w:type="character" w:customStyle="1" w:styleId="CommentSubjectChar">
    <w:name w:val="Comment Subject Char"/>
    <w:basedOn w:val="CommentTextChar"/>
    <w:link w:val="CommentSubject"/>
    <w:uiPriority w:val="99"/>
    <w:semiHidden/>
    <w:rsid w:val="00EA4F1D"/>
    <w:rPr>
      <w:b/>
      <w:bCs/>
      <w:sz w:val="20"/>
      <w:szCs w:val="20"/>
    </w:rPr>
  </w:style>
  <w:style w:type="paragraph" w:styleId="Revision">
    <w:name w:val="Revision"/>
    <w:hidden/>
    <w:uiPriority w:val="99"/>
    <w:semiHidden/>
    <w:rsid w:val="00F118D2"/>
    <w:pPr>
      <w:spacing w:after="0" w:line="240" w:lineRule="auto"/>
    </w:pPr>
  </w:style>
  <w:style w:type="paragraph" w:customStyle="1" w:styleId="xmsonormal">
    <w:name w:val="x_msonormal"/>
    <w:basedOn w:val="Normal"/>
    <w:rsid w:val="005E0D7B"/>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4A59C6"/>
    <w:rPr>
      <w:color w:val="0563C1"/>
      <w:u w:val="single"/>
    </w:rPr>
  </w:style>
  <w:style w:type="paragraph" w:styleId="Header">
    <w:name w:val="header"/>
    <w:basedOn w:val="Normal"/>
    <w:link w:val="HeaderChar"/>
    <w:uiPriority w:val="99"/>
    <w:unhideWhenUsed/>
    <w:rsid w:val="00BE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FFF"/>
  </w:style>
  <w:style w:type="paragraph" w:styleId="Footer">
    <w:name w:val="footer"/>
    <w:basedOn w:val="Normal"/>
    <w:link w:val="FooterChar"/>
    <w:uiPriority w:val="99"/>
    <w:unhideWhenUsed/>
    <w:rsid w:val="00BE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6537">
      <w:bodyDiv w:val="1"/>
      <w:marLeft w:val="0"/>
      <w:marRight w:val="0"/>
      <w:marTop w:val="0"/>
      <w:marBottom w:val="0"/>
      <w:divBdr>
        <w:top w:val="none" w:sz="0" w:space="0" w:color="auto"/>
        <w:left w:val="none" w:sz="0" w:space="0" w:color="auto"/>
        <w:bottom w:val="none" w:sz="0" w:space="0" w:color="auto"/>
        <w:right w:val="none" w:sz="0" w:space="0" w:color="auto"/>
      </w:divBdr>
    </w:div>
    <w:div w:id="449056003">
      <w:bodyDiv w:val="1"/>
      <w:marLeft w:val="0"/>
      <w:marRight w:val="0"/>
      <w:marTop w:val="0"/>
      <w:marBottom w:val="0"/>
      <w:divBdr>
        <w:top w:val="none" w:sz="0" w:space="0" w:color="auto"/>
        <w:left w:val="none" w:sz="0" w:space="0" w:color="auto"/>
        <w:bottom w:val="none" w:sz="0" w:space="0" w:color="auto"/>
        <w:right w:val="none" w:sz="0" w:space="0" w:color="auto"/>
      </w:divBdr>
    </w:div>
    <w:div w:id="775707912">
      <w:bodyDiv w:val="1"/>
      <w:marLeft w:val="0"/>
      <w:marRight w:val="0"/>
      <w:marTop w:val="0"/>
      <w:marBottom w:val="0"/>
      <w:divBdr>
        <w:top w:val="none" w:sz="0" w:space="0" w:color="auto"/>
        <w:left w:val="none" w:sz="0" w:space="0" w:color="auto"/>
        <w:bottom w:val="none" w:sz="0" w:space="0" w:color="auto"/>
        <w:right w:val="none" w:sz="0" w:space="0" w:color="auto"/>
      </w:divBdr>
    </w:div>
    <w:div w:id="1022367083">
      <w:bodyDiv w:val="1"/>
      <w:marLeft w:val="0"/>
      <w:marRight w:val="0"/>
      <w:marTop w:val="0"/>
      <w:marBottom w:val="0"/>
      <w:divBdr>
        <w:top w:val="none" w:sz="0" w:space="0" w:color="auto"/>
        <w:left w:val="none" w:sz="0" w:space="0" w:color="auto"/>
        <w:bottom w:val="none" w:sz="0" w:space="0" w:color="auto"/>
        <w:right w:val="none" w:sz="0" w:space="0" w:color="auto"/>
      </w:divBdr>
    </w:div>
    <w:div w:id="1103957717">
      <w:bodyDiv w:val="1"/>
      <w:marLeft w:val="0"/>
      <w:marRight w:val="0"/>
      <w:marTop w:val="0"/>
      <w:marBottom w:val="0"/>
      <w:divBdr>
        <w:top w:val="none" w:sz="0" w:space="0" w:color="auto"/>
        <w:left w:val="none" w:sz="0" w:space="0" w:color="auto"/>
        <w:bottom w:val="none" w:sz="0" w:space="0" w:color="auto"/>
        <w:right w:val="none" w:sz="0" w:space="0" w:color="auto"/>
      </w:divBdr>
    </w:div>
    <w:div w:id="1191796893">
      <w:bodyDiv w:val="1"/>
      <w:marLeft w:val="0"/>
      <w:marRight w:val="0"/>
      <w:marTop w:val="0"/>
      <w:marBottom w:val="0"/>
      <w:divBdr>
        <w:top w:val="none" w:sz="0" w:space="0" w:color="auto"/>
        <w:left w:val="none" w:sz="0" w:space="0" w:color="auto"/>
        <w:bottom w:val="none" w:sz="0" w:space="0" w:color="auto"/>
        <w:right w:val="none" w:sz="0" w:space="0" w:color="auto"/>
      </w:divBdr>
    </w:div>
    <w:div w:id="1252470449">
      <w:bodyDiv w:val="1"/>
      <w:marLeft w:val="0"/>
      <w:marRight w:val="0"/>
      <w:marTop w:val="0"/>
      <w:marBottom w:val="0"/>
      <w:divBdr>
        <w:top w:val="none" w:sz="0" w:space="0" w:color="auto"/>
        <w:left w:val="none" w:sz="0" w:space="0" w:color="auto"/>
        <w:bottom w:val="none" w:sz="0" w:space="0" w:color="auto"/>
        <w:right w:val="none" w:sz="0" w:space="0" w:color="auto"/>
      </w:divBdr>
    </w:div>
    <w:div w:id="1333416951">
      <w:bodyDiv w:val="1"/>
      <w:marLeft w:val="0"/>
      <w:marRight w:val="0"/>
      <w:marTop w:val="0"/>
      <w:marBottom w:val="0"/>
      <w:divBdr>
        <w:top w:val="none" w:sz="0" w:space="0" w:color="auto"/>
        <w:left w:val="none" w:sz="0" w:space="0" w:color="auto"/>
        <w:bottom w:val="none" w:sz="0" w:space="0" w:color="auto"/>
        <w:right w:val="none" w:sz="0" w:space="0" w:color="auto"/>
      </w:divBdr>
    </w:div>
    <w:div w:id="1385375937">
      <w:bodyDiv w:val="1"/>
      <w:marLeft w:val="0"/>
      <w:marRight w:val="0"/>
      <w:marTop w:val="0"/>
      <w:marBottom w:val="0"/>
      <w:divBdr>
        <w:top w:val="none" w:sz="0" w:space="0" w:color="auto"/>
        <w:left w:val="none" w:sz="0" w:space="0" w:color="auto"/>
        <w:bottom w:val="none" w:sz="0" w:space="0" w:color="auto"/>
        <w:right w:val="none" w:sz="0" w:space="0" w:color="auto"/>
      </w:divBdr>
    </w:div>
    <w:div w:id="1794984636">
      <w:bodyDiv w:val="1"/>
      <w:marLeft w:val="0"/>
      <w:marRight w:val="0"/>
      <w:marTop w:val="0"/>
      <w:marBottom w:val="0"/>
      <w:divBdr>
        <w:top w:val="none" w:sz="0" w:space="0" w:color="auto"/>
        <w:left w:val="none" w:sz="0" w:space="0" w:color="auto"/>
        <w:bottom w:val="none" w:sz="0" w:space="0" w:color="auto"/>
        <w:right w:val="none" w:sz="0" w:space="0" w:color="auto"/>
      </w:divBdr>
    </w:div>
    <w:div w:id="1976829557">
      <w:bodyDiv w:val="1"/>
      <w:marLeft w:val="0"/>
      <w:marRight w:val="0"/>
      <w:marTop w:val="0"/>
      <w:marBottom w:val="0"/>
      <w:divBdr>
        <w:top w:val="none" w:sz="0" w:space="0" w:color="auto"/>
        <w:left w:val="none" w:sz="0" w:space="0" w:color="auto"/>
        <w:bottom w:val="none" w:sz="0" w:space="0" w:color="auto"/>
        <w:right w:val="none" w:sz="0" w:space="0" w:color="auto"/>
      </w:divBdr>
    </w:div>
    <w:div w:id="20611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uren.Keith@lcp.u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White</dc:creator>
  <cp:keywords/>
  <dc:description/>
  <cp:lastModifiedBy>Katherine White</cp:lastModifiedBy>
  <cp:revision>2</cp:revision>
  <dcterms:created xsi:type="dcterms:W3CDTF">2021-01-28T10:58:00Z</dcterms:created>
  <dcterms:modified xsi:type="dcterms:W3CDTF">2021-01-28T10:58:00Z</dcterms:modified>
</cp:coreProperties>
</file>